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t xml:space="preserve">Plan d'amélioration continue et analyse des risques qualité</w:t>
      </w:r>
    </w:p>
    <w:p>
      <w:pPr>
        <w:spacing w:after="120"/>
      </w:pPr>
      <w:r>
        <w:rPr>
          <w:i/>
          <w:iCs/>
        </w:rPr>
        <w:t xml:space="preserve">Kit Qualiopi V10 — version 1.1.0 du 13/10/2026 — READ FRANCE SAS</w:t>
      </w:r>
    </w:p>
    <w:p>
      <w:pPr>
        <w:spacing w:after="120"/>
      </w:pPr>
      <w:r>
        <w:rPr>
          <w:b/>
          <w:bCs/>
        </w:rPr>
        <w:t xml:space="preserve">Indicateur du référentiel 2026 :</w:t>
      </w:r>
      <w:r>
        <w:t xml:space="preserve"> 32</w:t>
      </w:r>
    </w:p>
    <w:p>
      <w:pPr>
        <w:pBdr>
          <w:left w:val="single" w:color="1F4E79" w:sz="18" w:space="8"/>
        </w:pBdr>
        <w:shd w:fill="EAF1F8" w:color="auto" w:val="clear"/>
        <w:spacing w:after="120"/>
        <w:ind w:left="200" w:right="200"/>
      </w:pPr>
      <w:r>
        <w:rPr>
          <w:b/>
          <w:bCs/>
          <w:color w:val="1F3A5F"/>
        </w:rPr>
        <w:t xml:space="preserve">Comment utiliser ce modèle.</w:t>
      </w:r>
      <w:r>
        <w:rPr>
          <w:color w:val="1F3A5F"/>
        </w:rPr>
        <w:t xml:space="preserve"> Le référentiel 2026 transforme l'indicateur 32 : il ne suffit plus de prendre des « mesures d'amélioration », il faut une </w:t>
      </w:r>
      <w:r>
        <w:rPr>
          <w:b/>
          <w:bCs/>
          <w:color w:val="1F3A5F"/>
        </w:rPr>
        <w:t xml:space="preserve">démarche d'amélioration continue</w:t>
      </w:r>
      <w:r>
        <w:rPr>
          <w:color w:val="1F3A5F"/>
        </w:rPr>
        <w:t xml:space="preserve"> fondée sur l'analyse des appréciations et des réclamations, </w:t>
      </w:r>
      <w:r>
        <w:rPr>
          <w:b/>
          <w:bCs/>
          <w:color w:val="1F3A5F"/>
        </w:rPr>
        <w:t xml:space="preserve">complétée par une analyse des risques sur la qualité des formations</w:t>
      </w:r>
      <w:r>
        <w:rPr>
          <w:color w:val="1F3A5F"/>
        </w:rPr>
        <w:t xml:space="preserve">. Ce modèle réunit les deux. Revoyez-le au moins une fois par an et après chaque événement significatif.</w:t>
      </w:r>
    </w:p>
    <w:p>
      <w:pPr>
        <w:spacing w:after="120"/>
      </w:pPr>
      <w:r>
        <w:rPr>
          <w:b/>
          <w:bCs/>
        </w:rPr>
        <w:t xml:space="preserve">Organisme :</w:t>
      </w:r>
      <w:r>
        <w:t xml:space="preserve"> </w:t>
      </w:r>
      <w:r>
        <w:rPr>
          <w:highlight w:val="yellow"/>
        </w:rPr>
        <w:t xml:space="preserve">[À compléter]</w:t>
      </w:r>
      <w:r>
        <w:t xml:space="preserve"> — </w:t>
      </w:r>
      <w:r>
        <w:rPr>
          <w:b/>
          <w:bCs/>
        </w:rPr>
        <w:t xml:space="preserve">Période :</w:t>
      </w:r>
      <w:r>
        <w:t xml:space="preserve"> </w:t>
      </w:r>
      <w:r>
        <w:rPr>
          <w:highlight w:val="yellow"/>
        </w:rPr>
        <w:t xml:space="preserve">[année]</w:t>
      </w:r>
      <w:r>
        <w:t xml:space="preserve"> — </w:t>
      </w:r>
      <w:r>
        <w:rPr>
          <w:b/>
          <w:bCs/>
        </w:rPr>
        <w:t xml:space="preserve">Dernière revue :</w:t>
      </w:r>
      <w:r>
        <w:t xml:space="preserve"> </w:t>
      </w:r>
      <w:r>
        <w:rPr>
          <w:highlight w:val="yellow"/>
        </w:rPr>
        <w:t xml:space="preserve">[JJ/MM/AAAA]</w:t>
      </w:r>
      <w:r>
        <w:t xml:space="preserve"> par </w:t>
      </w:r>
      <w:r>
        <w:rPr>
          <w:highlight w:val="yellow"/>
        </w:rPr>
        <w:t xml:space="preserve">[nom]</w:t>
      </w:r>
    </w:p>
    <w:p>
      <w:pPr>
        <w:pStyle w:val="Heading2"/>
        <w:spacing w:after="120" w:before="240"/>
      </w:pPr>
      <w:r>
        <w:t xml:space="preserve">1. Sources alimentant la démarche</w:t>
      </w:r>
    </w:p>
    <w:p>
      <w:pPr>
        <w:spacing w:after="120"/>
      </w:pPr>
      <w:r>
        <w:t xml:space="preserve">☐ Appréciations des parties prenantes (T14) ☐ Évaluations des enseignements par les apprenants (T17, CFA)</w:t>
      </w:r>
      <w:r>
        <w:br/>
        <w:t xml:space="preserve">☐ Réclamations, difficultés et aléas (T15) ☐ Signalements (T07, de façon anonymisée)</w:t>
      </w:r>
      <w:r>
        <w:br/>
        <w:t xml:space="preserve">☐ Résultats (T02) ☐ Veille (T11) ☐ Audits internes et externes ☐ Analyse des risques (§ 3)</w:t>
      </w:r>
    </w:p>
    <w:p>
      <w:pPr>
        <w:pStyle w:val="Heading2"/>
        <w:spacing w:after="120" w:before="240"/>
      </w:pPr>
      <w:r>
        <w:t xml:space="preserve">2. Plan d'amélioration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8"/>
        <w:gridCol w:w="490"/>
        <w:gridCol w:w="1078"/>
        <w:gridCol w:w="1176"/>
        <w:gridCol w:w="980"/>
        <w:gridCol w:w="980"/>
        <w:gridCol w:w="588"/>
        <w:gridCol w:w="588"/>
        <w:gridCol w:w="588"/>
        <w:gridCol w:w="1078"/>
        <w:gridCol w:w="784"/>
        <w:gridCol w:w="882"/>
      </w:tblGrid>
      <w:tr>
        <w:trPr>
          <w:tblHeader/>
        </w:trPr>
        <w:tc>
          <w:tcPr>
            <w:tcW w:type="pct" w:w="3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N°</w:t>
            </w:r>
          </w:p>
        </w:tc>
        <w:tc>
          <w:tcPr>
            <w:tcW w:type="pct" w:w="2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pct" w:w="5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Origine (source § 1 + référence)</w:t>
            </w:r>
          </w:p>
        </w:tc>
        <w:tc>
          <w:tcPr>
            <w:tcW w:type="pct" w:w="6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Constat</w:t>
            </w:r>
          </w:p>
        </w:tc>
        <w:tc>
          <w:tcPr>
            <w:tcW w:type="pct" w:w="5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Cause identifiée</w:t>
            </w:r>
          </w:p>
        </w:tc>
        <w:tc>
          <w:tcPr>
            <w:tcW w:type="pct" w:w="5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Action</w:t>
            </w:r>
          </w:p>
        </w:tc>
        <w:tc>
          <w:tcPr>
            <w:tcW w:type="pct" w:w="3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Responsable</w:t>
            </w:r>
          </w:p>
        </w:tc>
        <w:tc>
          <w:tcPr>
            <w:tcW w:type="pct" w:w="3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Échéance</w:t>
            </w:r>
          </w:p>
        </w:tc>
        <w:tc>
          <w:tcPr>
            <w:tcW w:type="pct" w:w="3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Réalisée le</w:t>
            </w:r>
          </w:p>
        </w:tc>
        <w:tc>
          <w:tcPr>
            <w:tcW w:type="pct" w:w="5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Indicateur d'efficacité</w:t>
            </w:r>
          </w:p>
        </w:tc>
        <w:tc>
          <w:tcPr>
            <w:tcW w:type="pct" w:w="4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Efficacité vérifiée le</w:t>
            </w:r>
          </w:p>
        </w:tc>
        <w:tc>
          <w:tcPr>
            <w:tcW w:type="pct" w:w="4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Résultat</w:t>
            </w:r>
          </w:p>
        </w:tc>
      </w:tr>
      <w:tr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A1</w:t>
            </w:r>
          </w:p>
        </w:tc>
        <w:tc>
          <w:tcPr>
            <w:tcW w:type="pct" w:w="2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5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highlight w:val="yellow"/>
              </w:rPr>
              <w:t xml:space="preserve">[ex. T14, session de mars]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highlight w:val="yellow"/>
              </w:rPr>
              <w:t xml:space="preserve">[ex. 30 % des participants jugent le distanciel difficile d'accès]</w:t>
            </w:r>
          </w:p>
        </w:tc>
        <w:tc>
          <w:tcPr>
            <w:tcW w:type="pct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highlight w:val="yellow"/>
              </w:rPr>
              <w:t xml:space="preserve">[ex. pas de tutoriel de connexion]</w:t>
            </w:r>
          </w:p>
        </w:tc>
        <w:tc>
          <w:tcPr>
            <w:tcW w:type="pct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highlight w:val="yellow"/>
              </w:rPr>
              <w:t xml:space="preserve">[ex. tutoriel vidéo + test de connexion J-3]</w:t>
            </w:r>
          </w:p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5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highlight w:val="yellow"/>
              </w:rPr>
              <w:t xml:space="preserve">[ex. part des « difficile d'accès » &lt; 10 %]</w:t>
            </w:r>
          </w:p>
        </w:tc>
        <w:tc>
          <w:tcPr>
            <w:tcW w:type="pct" w:w="4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4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☐ efficace ☐ à reprendre</w:t>
            </w:r>
          </w:p>
        </w:tc>
      </w:tr>
      <w:tr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A2</w:t>
            </w:r>
          </w:p>
        </w:tc>
        <w:tc>
          <w:tcPr>
            <w:tcW w:type="pct" w:w="2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5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5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5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4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4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spacing w:after="60"/>
      </w:pPr>
    </w:p>
    <w:p>
      <w:pPr>
        <w:pBdr>
          <w:left w:val="single" w:color="1F4E79" w:sz="18" w:space="8"/>
        </w:pBdr>
        <w:shd w:fill="EAF1F8" w:color="auto" w:val="clear"/>
        <w:spacing w:after="120"/>
        <w:ind w:left="200" w:right="200"/>
      </w:pPr>
      <w:r>
        <w:rPr>
          <w:color w:val="1F3A5F"/>
        </w:rPr>
        <w:t xml:space="preserve">L'auditeur regarde surtout les deux dernières colonnes : une action sans vérification de son efficacité n'est pas une démarche d'amélioration continue.</w:t>
      </w:r>
    </w:p>
    <w:p>
      <w:pPr>
        <w:pStyle w:val="Heading2"/>
        <w:spacing w:after="120" w:before="240"/>
      </w:pPr>
      <w:r>
        <w:t xml:space="preserve">3. Analyse des risques sur la qualité des formations</w:t>
      </w:r>
    </w:p>
    <w:p>
      <w:pPr>
        <w:pStyle w:val="Heading3"/>
        <w:spacing w:after="120" w:before="240"/>
      </w:pPr>
      <w:r>
        <w:t xml:space="preserve">3.1 Méthode de cotation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Probabilité</w:t>
      </w:r>
      <w:r>
        <w:t xml:space="preserve"> : 1 (rare) — 2 (possible) — 3 (probable) — 4 (fréquent)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Gravité pour les bénéficiaires</w:t>
      </w:r>
      <w:r>
        <w:t xml:space="preserve"> : 1 (gêne mineure) — 2 (objectif partiellement atteint) — 3 (objectif non atteint ou abandon) — 4 (atteinte à la sécurité, à l'intégrité ou aux droits)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Criticité = probabilité × gravité.</w:t>
      </w:r>
      <w:r>
        <w:t xml:space="preserve"> Priorité si criticité ≥ </w:t>
      </w:r>
      <w:r>
        <w:rPr>
          <w:highlight w:val="yellow"/>
        </w:rPr>
        <w:t xml:space="preserve">[8]</w:t>
      </w:r>
      <w:r>
        <w:t xml:space="preserve"> ou gravité = 4.</w:t>
      </w:r>
    </w:p>
    <w:p>
      <w:pPr>
        <w:pStyle w:val="Heading3"/>
        <w:spacing w:after="120" w:before="240"/>
      </w:pPr>
      <w:r>
        <w:t xml:space="preserve">3.2 Cartographie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6"/>
        <w:gridCol w:w="1176"/>
        <w:gridCol w:w="1666"/>
        <w:gridCol w:w="1470"/>
        <w:gridCol w:w="588"/>
        <w:gridCol w:w="588"/>
        <w:gridCol w:w="588"/>
        <w:gridCol w:w="1470"/>
        <w:gridCol w:w="686"/>
        <w:gridCol w:w="686"/>
      </w:tblGrid>
      <w:tr>
        <w:trPr>
          <w:tblHeader/>
        </w:trPr>
        <w:tc>
          <w:tcPr>
            <w:tcW w:type="pct" w:w="3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N°</w:t>
            </w:r>
          </w:p>
        </w:tc>
        <w:tc>
          <w:tcPr>
            <w:tcW w:type="pct" w:w="6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Processus</w:t>
            </w:r>
          </w:p>
        </w:tc>
        <w:tc>
          <w:tcPr>
            <w:tcW w:type="pct" w:w="8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Risque</w:t>
            </w:r>
          </w:p>
        </w:tc>
        <w:tc>
          <w:tcPr>
            <w:tcW w:type="pct" w:w="7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Conséquence pour les bénéficiaires</w:t>
            </w:r>
          </w:p>
        </w:tc>
        <w:tc>
          <w:tcPr>
            <w:tcW w:type="pct" w:w="3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P</w:t>
            </w:r>
          </w:p>
        </w:tc>
        <w:tc>
          <w:tcPr>
            <w:tcW w:type="pct" w:w="3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G</w:t>
            </w:r>
          </w:p>
        </w:tc>
        <w:tc>
          <w:tcPr>
            <w:tcW w:type="pct" w:w="3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Criticité</w:t>
            </w:r>
          </w:p>
        </w:tc>
        <w:tc>
          <w:tcPr>
            <w:tcW w:type="pct" w:w="7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Mesures de maîtrise existantes</w:t>
            </w:r>
          </w:p>
        </w:tc>
        <w:tc>
          <w:tcPr>
            <w:tcW w:type="pct" w:w="3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Action complémentaire (n° plan)</w:t>
            </w:r>
          </w:p>
        </w:tc>
        <w:tc>
          <w:tcPr>
            <w:tcW w:type="pct" w:w="3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Risque résiduel</w:t>
            </w:r>
          </w:p>
        </w:tc>
      </w:tr>
      <w:tr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R1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Information du public</w:t>
            </w:r>
          </w:p>
        </w:tc>
        <w:tc>
          <w:tcPr>
            <w:tcW w:type="pct" w:w="8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Information publiée inexacte (financement, délai, débouchés)</w:t>
            </w:r>
          </w:p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Engagement sur une base erronée</w:t>
            </w:r>
          </w:p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Relecture avant publication (T01)</w:t>
            </w:r>
          </w:p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R2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Positionnement</w:t>
            </w:r>
          </w:p>
        </w:tc>
        <w:tc>
          <w:tcPr>
            <w:tcW w:type="pct" w:w="8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Prérequis non vérifiés</w:t>
            </w:r>
          </w:p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Échec, abandon</w:t>
            </w:r>
          </w:p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Test d'entrée (T04)</w:t>
            </w:r>
          </w:p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R3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Déroulement</w:t>
            </w:r>
          </w:p>
        </w:tc>
        <w:tc>
          <w:tcPr>
            <w:tcW w:type="pct" w:w="8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Absence imprévue du formateur</w:t>
            </w:r>
          </w:p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Report, perte de motivation</w:t>
            </w:r>
          </w:p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Formateur suppléant identifié</w:t>
            </w:r>
          </w:p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R4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Distanciel</w:t>
            </w:r>
          </w:p>
        </w:tc>
        <w:tc>
          <w:tcPr>
            <w:tcW w:type="pct" w:w="8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Décrochage non détecté</w:t>
            </w:r>
          </w:p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Abandon, objectifs non atteints</w:t>
            </w:r>
          </w:p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Protocole de suivi (T09)</w:t>
            </w:r>
          </w:p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R5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Sécurité des personnes</w:t>
            </w:r>
          </w:p>
        </w:tc>
        <w:tc>
          <w:tcPr>
            <w:tcW w:type="pct" w:w="8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Violence, harcèlement ou discrimination non signalé ou mal traité</w:t>
            </w:r>
          </w:p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Atteinte à l'intégrité, rupture</w:t>
            </w:r>
          </w:p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Procédure T07, référent désigné</w:t>
            </w:r>
          </w:p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R6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Sous-traitance</w:t>
            </w:r>
          </w:p>
        </w:tc>
        <w:tc>
          <w:tcPr>
            <w:tcW w:type="pct" w:w="8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Sous-traitant ne respectant pas le référentiel</w:t>
            </w:r>
          </w:p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Qualité dégradée, non-conformité</w:t>
            </w:r>
          </w:p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Clause et annexe qualité (T13)</w:t>
            </w:r>
          </w:p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R7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Compétences</w:t>
            </w:r>
          </w:p>
        </w:tc>
        <w:tc>
          <w:tcPr>
            <w:tcW w:type="pct" w:w="8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Intervenant non à jour</w:t>
            </w:r>
          </w:p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Contenu obsolète</w:t>
            </w:r>
          </w:p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Matrice et plan (T10)</w:t>
            </w:r>
          </w:p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R8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Certification</w:t>
            </w:r>
          </w:p>
        </w:tc>
        <w:tc>
          <w:tcPr>
            <w:tcW w:type="pct" w:w="8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Habilitation ou fiche RNCP/RS expirée</w:t>
            </w:r>
          </w:p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Certification impossible</w:t>
            </w:r>
          </w:p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Dossier certification (T18)</w:t>
            </w:r>
          </w:p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R9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Handicap</w:t>
            </w:r>
          </w:p>
        </w:tc>
        <w:tc>
          <w:tcPr>
            <w:tcW w:type="pct" w:w="8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Besoin d'aménagement non repéré</w:t>
            </w:r>
          </w:p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Exclusion, échec</w:t>
            </w:r>
          </w:p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Question systématique (T12)</w:t>
            </w:r>
          </w:p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R10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Réglementaire</w:t>
            </w:r>
          </w:p>
        </w:tc>
        <w:tc>
          <w:tcPr>
            <w:tcW w:type="pct" w:w="8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Évolution non prise en compte (ex. référentiel 2026)</w:t>
            </w:r>
          </w:p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Non-conformité</w:t>
            </w:r>
          </w:p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Registre de veille (T11)</w:t>
            </w:r>
          </w:p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  <w:tr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t xml:space="preserve">R11</w:t>
            </w:r>
          </w:p>
        </w:tc>
        <w:tc>
          <w:tcPr>
            <w:tcW w:type="pct" w:w="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highlight w:val="yellow"/>
              </w:rPr>
              <w:t xml:space="preserve">[À compléter]</w:t>
            </w:r>
          </w:p>
        </w:tc>
        <w:tc>
          <w:tcPr>
            <w:tcW w:type="pct" w:w="8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spacing w:after="60"/>
      </w:pPr>
    </w:p>
    <w:p>
      <w:pPr>
        <w:pStyle w:val="Heading3"/>
        <w:spacing w:after="120" w:before="240"/>
      </w:pPr>
      <w:r>
        <w:t xml:space="preserve">3.3 Revue des risques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70"/>
        <w:gridCol w:w="1862"/>
        <w:gridCol w:w="2058"/>
        <w:gridCol w:w="2646"/>
        <w:gridCol w:w="1764"/>
      </w:tblGrid>
      <w:tr>
        <w:trPr>
          <w:tblHeader/>
        </w:trPr>
        <w:tc>
          <w:tcPr>
            <w:tcW w:type="pct" w:w="7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pct" w:w="9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Participants</w:t>
            </w:r>
          </w:p>
        </w:tc>
        <w:tc>
          <w:tcPr>
            <w:tcW w:type="pct" w:w="10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Nouveaux risques</w:t>
            </w:r>
          </w:p>
        </w:tc>
        <w:tc>
          <w:tcPr>
            <w:tcW w:type="pct" w:w="135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Risques dont la cotation change</w:t>
            </w:r>
          </w:p>
        </w:tc>
        <w:tc>
          <w:tcPr>
            <w:tcW w:type="pct" w:w="900"/>
            <w:shd w:fill="1F4E7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</w:rPr>
              <w:t xml:space="preserve">Décisions</w:t>
            </w:r>
          </w:p>
        </w:tc>
      </w:tr>
      <w:tr>
        <w:tc>
          <w:tcPr>
            <w:tcW w:type="pct" w:w="7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9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10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135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  <w:tc>
          <w:tcPr>
            <w:tcW w:type="pct" w:w="900"/>
            <w:tcMar>
              <w:top w:type="dxa" w:w="60"/>
              <w:left w:type="dxa" w:w="80"/>
              <w:bottom w:type="dxa" w:w="60"/>
              <w:right w:type="dxa" w:w="80"/>
            </w:tcMar>
          </w:tcPr>
          <w:p/>
        </w:tc>
      </w:tr>
    </w:tbl>
    <w:p>
      <w:pPr>
        <w:spacing w:after="60"/>
      </w:pPr>
    </w:p>
    <w:p>
      <w:pPr>
        <w:pStyle w:val="Heading2"/>
        <w:spacing w:after="120" w:before="240"/>
      </w:pPr>
      <w:r>
        <w:t xml:space="preserve">4. Bilan annuel qualité (revue de direction)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Résultats de l'année (T02) : </w:t>
      </w:r>
      <w:r>
        <w:rPr>
          <w:highlight w:val="yellow"/>
        </w:rPr>
        <w:t xml:space="preserve">[synthèse]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Appréciations et réclamations : </w:t>
      </w:r>
      <w:r>
        <w:rPr>
          <w:highlight w:val="yellow"/>
        </w:rPr>
        <w:t xml:space="preserve">[tendances]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Actions menées et efficacité : </w:t>
      </w:r>
      <w:r>
        <w:rPr>
          <w:highlight w:val="yellow"/>
        </w:rPr>
        <w:t xml:space="preserve">[n réalisées / n prévues ; n efficaces]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Risques prioritaires et évolution : </w:t>
      </w:r>
      <w:r>
        <w:t xml:space="preserve">[ 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Objectifs pour l'année suivante : </w:t>
      </w:r>
      <w:r>
        <w:t xml:space="preserve">[ ]</w:t>
      </w:r>
    </w:p>
    <w:p>
      <w:pPr>
        <w:spacing w:after="120"/>
      </w:pPr>
      <w:r>
        <w:t xml:space="preserve">Date : </w:t>
      </w:r>
      <w:r>
        <w:rPr>
          <w:highlight w:val="yellow"/>
        </w:rPr>
        <w:t xml:space="preserve">[JJ/MM/AAAA]</w:t>
      </w:r>
      <w:r>
        <w:t xml:space="preserve"> — Participants : </w:t>
      </w:r>
      <w:r>
        <w:t xml:space="preserve">[ ]</w:t>
      </w:r>
    </w:p>
    <w:p>
      <w:pPr>
        <w:pBdr>
          <w:bottom w:val="single" w:color="BFBFBF" w:sz="6" w:space="1"/>
        </w:pBdr>
      </w:pPr>
    </w:p>
    <w:p>
      <w:pPr>
        <w:pStyle w:val="Heading2"/>
        <w:spacing w:after="120" w:before="240"/>
      </w:pPr>
      <w:r>
        <w:t xml:space="preserve">Avertissement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 kit est un outil d'organisation et d'information. Il ne constitue ni un conseil juridique, ni une prestation d'accompagnement, ni un audit.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Son utilisation ne garantit pas l'obtention, le maintien ou le renouvellement de la certification : seul un organisme certificateur accrédité ou autorisé décide, après audit, sur la base du référentiel en vigueur et de son guide de lecture.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Les modèles sont à adapter à votre organisme : un document recopié sans être appliqué n'est pas une preuve. L'auditeur vérifie la mise en œuvre réelle.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Qualiopi est une marque de l'État (ministère chargé de la formation professionnelle). Ce kit est un produit indépendant : il n'est ni édité, ni validé, ni approuvé par l'État, France compétences, le COFRAC ou un organisme certificateur. Il ne contient pas et ne vous autorise pas à utiliser le logo Qualiopi, dont l'usage est régi par sa charte.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 texte de référence fait foi : en cas de doute, reportez-vous au décret n° 2026-728 et à l'annexe du code du travail sur Légifrance, puis au guide de lecture officiel dès sa publication.</w:t>
      </w:r>
    </w:p>
    <w:sectPr>
      <w:headerReference w:type="default" r:id="rId6"/>
      <w:footerReference w:type="default" r:id="rId7"/>
      <w:pgSz w:w="16838" w:h="11906" w:orient="landscape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F7F7F"/>
        <w:sz w:val="16"/>
        <w:szCs w:val="16"/>
      </w:rPr>
      <w:t xml:space="preserve">Kit Qualiopi V10 v1.1.0 — © READ FRANCE SAS — information, pas un conseil juridique — page </w:t>
    </w:r>
    <w:r>
      <w:rPr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F7F7F"/>
        <w:sz w:val="16"/>
        <w:szCs w:val="16"/>
      </w:rPr>
      <w:t xml:space="preserve">Plan d'amélioration continue et analyse des risques qualité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260"/>
      </w:pPr>
    </w:lvl>
    <w:lvl w:ilvl="1" w:tentative="1">
      <w:start w:val="1"/>
      <w:numFmt w:val="decimal"/>
      <w:lvlText w:val="%2."/>
      <w:lvlJc w:val="left"/>
      <w:pPr>
        <w:ind w:left="720" w:hanging="260"/>
      </w:pPr>
    </w:lvl>
    <w:lvl w:ilvl="2" w:tentative="1">
      <w:start w:val="1"/>
      <w:numFmt w:val="decimal"/>
      <w:lvlText w:val="%3."/>
      <w:lvlJc w:val="left"/>
      <w:pPr>
        <w:ind w:left="1080" w:hanging="260"/>
      </w:pPr>
    </w:lvl>
    <w:lvl w:ilvl="3" w:tentative="1">
      <w:start w:val="1"/>
      <w:numFmt w:val="decimal"/>
      <w:lvlText w:val="%4."/>
      <w:lvlJc w:val="left"/>
      <w:pPr>
        <w:ind w:left="144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1F4E79"/>
      <w:sz w:val="34"/>
      <w:szCs w:val="34"/>
    </w:rPr>
  </w:style>
  <w:style w:type="paragraph" w:styleId="Heading2">
    <w:name w:val="Heading 2"/>
    <w:basedOn w:val="Normal"/>
    <w:next w:val="Normal"/>
    <w:qFormat/>
    <w:rPr>
      <w:b/>
      <w:bCs/>
      <w:color w:val="1F4E79"/>
      <w:sz w:val="27"/>
      <w:szCs w:val="27"/>
    </w:rPr>
  </w:style>
  <w:style w:type="paragraph" w:styleId="Heading3">
    <w:name w:val="Heading 3"/>
    <w:basedOn w:val="Normal"/>
    <w:next w:val="Normal"/>
    <w:qFormat/>
    <w:rPr>
      <w:b/>
      <w:bCs/>
      <w:color w:val="2E2E2E"/>
      <w:sz w:val="23"/>
      <w:szCs w:val="23"/>
    </w:rPr>
  </w:style>
  <w:style w:type="paragraph" w:styleId="Heading4">
    <w:name w:val="Heading 4"/>
    <w:basedOn w:val="Normal"/>
    <w:next w:val="Normal"/>
    <w:qFormat/>
    <w:rPr>
      <w:b/>
      <w:bCs/>
      <w:sz w:val="21"/>
      <w:szCs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d'amélioration continue et analyse des risques qualité</dc:title>
  <dc:creator>READ FRANCE SAS</dc:creator>
  <dc:description>Kit Qualiopi V10 — READ FRANCE SAS</dc:description>
  <cp:lastModifiedBy>Un-named</cp:lastModifiedBy>
  <cp:revision>1</cp:revision>
  <dcterms:created xsi:type="dcterms:W3CDTF">2026-10-12T23:21:00.109Z</dcterms:created>
  <dcterms:modified xsi:type="dcterms:W3CDTF">2026-10-12T23:21:00.109Z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