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0"/>
      </w:pPr>
      <w:r>
        <w:t xml:space="preserve">Clause et annexe qualité pour la sous-traitance et le portage salarial</w:t>
      </w:r>
    </w:p>
    <w:p>
      <w:pPr>
        <w:spacing w:after="120"/>
      </w:pPr>
      <w:r>
        <w:rPr>
          <w:i/>
          <w:iCs/>
        </w:rPr>
        <w:t xml:space="preserve">Kit Qualiopi V10 — version 1.1.0 du 13/10/2026 — READ FRANCE SAS</w:t>
      </w:r>
    </w:p>
    <w:p>
      <w:pPr>
        <w:spacing w:after="120"/>
      </w:pPr>
      <w:r>
        <w:rPr>
          <w:b/>
          <w:bCs/>
        </w:rPr>
        <w:t xml:space="preserve">Indicateur du référentiel 2026 :</w:t>
      </w:r>
      <w:r>
        <w:t xml:space="preserve"> 27</w:t>
      </w:r>
    </w:p>
    <w:p>
      <w:pPr>
        <w:pBdr>
          <w:left w:val="single" w:color="1F4E79" w:sz="18" w:space="8"/>
        </w:pBdr>
        <w:shd w:fill="EAF1F8" w:color="auto" w:val="clear"/>
        <w:spacing w:after="120"/>
        <w:ind w:left="200" w:right="200"/>
      </w:pPr>
      <w:r>
        <w:rPr>
          <w:b/>
          <w:bCs/>
          <w:color w:val="1F3A5F"/>
        </w:rPr>
        <w:t xml:space="preserve">Comment utiliser ce modèle.</w:t>
      </w:r>
      <w:r>
        <w:rPr>
          <w:color w:val="1F3A5F"/>
        </w:rPr>
        <w:t xml:space="preserve"> L'indicateur 27 du référentiel 2026 exige que la conformité au référentiel des sous-traitants et des salariés portés soit </w:t>
      </w:r>
      <w:r>
        <w:rPr>
          <w:b/>
          <w:bCs/>
          <w:color w:val="1F3A5F"/>
        </w:rPr>
        <w:t xml:space="preserve">tracée dans les contrats</w:t>
      </w:r>
      <w:r>
        <w:rPr>
          <w:color w:val="1F3A5F"/>
        </w:rPr>
        <w:t xml:space="preserve">. Insérez la clause dans chaque contrat (nouveau ou par avenant) et joignez l'annexe. Ce modèle est une base de rédaction : faites valider la version finale par votre conseil, notamment les clauses de responsabilité et de résiliation.</w:t>
      </w:r>
    </w:p>
    <w:p>
      <w:pPr>
        <w:pStyle w:val="Heading2"/>
        <w:spacing w:after="120" w:before="240"/>
      </w:pPr>
      <w:r>
        <w:t xml:space="preserve">1. Clause à insérer dans le contrat</w:t>
      </w:r>
    </w:p>
    <w:p>
      <w:pPr>
        <w:spacing w:after="120"/>
      </w:pPr>
      <w:r>
        <w:rPr>
          <w:b/>
          <w:bCs/>
        </w:rPr>
        <w:t xml:space="preserve">Article </w:t>
      </w:r>
      <w:r>
        <w:rPr>
          <w:b/>
          <w:bCs/>
        </w:rPr>
        <w:t xml:space="preserve">[X]</w:t>
      </w:r>
      <w:r>
        <w:rPr>
          <w:b/>
          <w:bCs/>
        </w:rPr>
        <w:t xml:space="preserve"> — Qualité des prestations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 Prestataire (organisme donneur d'ordre) est soumis au référentiel national sur la qualité des actions concourant au développement des compétences mentionné à l'article L. 6316-3 du code du travail, dans sa version en vigueur.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 </w:t>
      </w:r>
      <w:r>
        <w:rPr>
          <w:highlight w:val="yellow"/>
        </w:rPr>
        <w:t xml:space="preserve">[Sous-traitant / Consultant porté]</w:t>
      </w:r>
      <w:r>
        <w:t xml:space="preserve"> s'engage à réaliser les prestations qui lui sont confiées dans le respect des exigences de ce référentiel applicables aux missions décrites à l'annexe qualité, et à fournir les éléments de preuve qui y sont listés.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 Prestataire peut vérifier le respect de ces engagements selon les modalités de l'annexe qualité, notamment par la revue des documents, l'observation de séances et le recueil des appréciations des bénéficiaires.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 </w:t>
      </w:r>
      <w:r>
        <w:rPr>
          <w:highlight w:val="yellow"/>
        </w:rPr>
        <w:t xml:space="preserve">[Sous-traitant / Consultant porté]</w:t>
      </w:r>
      <w:r>
        <w:t xml:space="preserve"> informe le Prestataire sans délai de toute difficulté, réclamation ou incident survenu pendant la prestation, et de tout signalement de violence, de harcèlement ou de discrimination.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 </w:t>
      </w:r>
      <w:r>
        <w:rPr>
          <w:highlight w:val="yellow"/>
        </w:rPr>
        <w:t xml:space="preserve">[Sous-traitant / Consultant porté]</w:t>
      </w:r>
      <w:r>
        <w:t xml:space="preserve"> accepte, le cas échéant, de répondre aux demandes de l'organisme certificateur du Prestataire dans le cadre de ses audits.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 cas de manquement grave ou répété, après mise en demeure restée sans effet pendant </w:t>
      </w:r>
      <w:r>
        <w:rPr>
          <w:highlight w:val="yellow"/>
        </w:rPr>
        <w:t xml:space="preserve">[15]</w:t>
      </w:r>
      <w:r>
        <w:t xml:space="preserve"> jours, le Prestataire peut </w:t>
      </w:r>
      <w:r>
        <w:rPr>
          <w:highlight w:val="yellow"/>
        </w:rPr>
        <w:t xml:space="preserve">[résilier le contrat / suspendre les missions]</w:t>
      </w:r>
      <w:r>
        <w:t xml:space="preserve"> dans les conditions de l'article </w:t>
      </w:r>
      <w:r>
        <w:rPr>
          <w:highlight w:val="yellow"/>
        </w:rPr>
        <w:t xml:space="preserve">[Y]</w:t>
      </w:r>
      <w:r>
        <w:t xml:space="preserve">.</w:t>
      </w:r>
    </w:p>
    <w:p>
      <w:pPr>
        <w:pStyle w:val="Heading2"/>
        <w:spacing w:after="120" w:before="240"/>
      </w:pPr>
      <w:r>
        <w:t xml:space="preserve">2. Annexe qualité</w:t>
      </w:r>
    </w:p>
    <w:p>
      <w:pPr>
        <w:spacing w:after="120"/>
      </w:pPr>
      <w:r>
        <w:rPr>
          <w:b/>
          <w:bCs/>
        </w:rPr>
        <w:t xml:space="preserve">Contrat n° :</w:t>
      </w:r>
      <w:r>
        <w:t xml:space="preserve"> </w:t>
      </w:r>
      <w:r>
        <w:t xml:space="preserve">[ ]</w:t>
      </w:r>
      <w:r>
        <w:t xml:space="preserve"> — </w:t>
      </w:r>
      <w:r>
        <w:rPr>
          <w:b/>
          <w:bCs/>
        </w:rPr>
        <w:t xml:space="preserve">Missions :</w:t>
      </w:r>
      <w:r>
        <w:t xml:space="preserve"> </w:t>
      </w:r>
      <w:r>
        <w:t xml:space="preserve">[ ]</w:t>
      </w:r>
      <w:r>
        <w:t xml:space="preserve"> — </w:t>
      </w:r>
      <w:r>
        <w:rPr>
          <w:b/>
          <w:bCs/>
        </w:rPr>
        <w:t xml:space="preserve">Date :</w:t>
      </w:r>
      <w:r>
        <w:t xml:space="preserve"> </w:t>
      </w:r>
      <w:r>
        <w:t xml:space="preserve">[ ]</w:t>
      </w:r>
    </w:p>
    <w:p>
      <w:pPr>
        <w:pStyle w:val="Heading3"/>
        <w:spacing w:after="120" w:before="240"/>
      </w:pPr>
      <w:r>
        <w:t xml:space="preserve">2.1 Obligations et preuves attendues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42"/>
        <w:gridCol w:w="1274"/>
        <w:gridCol w:w="1764"/>
        <w:gridCol w:w="2352"/>
        <w:gridCol w:w="1568"/>
      </w:tblGrid>
      <w:tr>
        <w:trPr>
          <w:tblHeader/>
        </w:trPr>
        <w:tc>
          <w:tcPr>
            <w:tcW w:type="pct" w:w="145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Exigence</w:t>
            </w:r>
          </w:p>
        </w:tc>
        <w:tc>
          <w:tcPr>
            <w:tcW w:type="pct" w:w="65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Indicateur(s)</w:t>
            </w:r>
          </w:p>
        </w:tc>
        <w:tc>
          <w:tcPr>
            <w:tcW w:type="pct" w:w="90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Fait par</w:t>
            </w:r>
          </w:p>
        </w:tc>
        <w:tc>
          <w:tcPr>
            <w:tcW w:type="pct" w:w="120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Preuve à fournir</w:t>
            </w:r>
          </w:p>
        </w:tc>
        <w:tc>
          <w:tcPr>
            <w:tcW w:type="pct" w:w="80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Délai</w:t>
            </w:r>
          </w:p>
        </w:tc>
      </w:tr>
      <w:tr>
        <w:tc>
          <w:tcPr>
            <w:tcW w:type="pct" w:w="1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Respect du programme et des objectifs communiqués</w:t>
            </w:r>
          </w:p>
        </w:tc>
        <w:tc>
          <w:tcPr>
            <w:tcW w:type="pct" w:w="6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5, 6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Sous-traitant</w:t>
            </w:r>
          </w:p>
        </w:tc>
        <w:tc>
          <w:tcPr>
            <w:tcW w:type="pct" w:w="12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Déroulé réalisé, supports</w:t>
            </w:r>
          </w:p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Fin de session</w:t>
            </w:r>
          </w:p>
        </w:tc>
      </w:tr>
      <w:tr>
        <w:tc>
          <w:tcPr>
            <w:tcW w:type="pct" w:w="1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Émargement et suivi de l'assiduité</w:t>
            </w:r>
          </w:p>
        </w:tc>
        <w:tc>
          <w:tcPr>
            <w:tcW w:type="pct" w:w="6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10, 12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Sous-traitant</w:t>
            </w:r>
          </w:p>
        </w:tc>
        <w:tc>
          <w:tcPr>
            <w:tcW w:type="pct" w:w="12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Feuilles d'émargement / relevés</w:t>
            </w:r>
          </w:p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highlight w:val="yellow"/>
              </w:rPr>
              <w:t xml:space="preserve">[48 h]</w:t>
            </w:r>
          </w:p>
        </w:tc>
      </w:tr>
      <w:tr>
        <w:tc>
          <w:tcPr>
            <w:tcW w:type="pct" w:w="1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Évaluation des acquis</w:t>
            </w:r>
          </w:p>
        </w:tc>
        <w:tc>
          <w:tcPr>
            <w:tcW w:type="pct" w:w="6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11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Sous-traitant</w:t>
            </w:r>
          </w:p>
        </w:tc>
        <w:tc>
          <w:tcPr>
            <w:tcW w:type="pct" w:w="12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Résultats individuels</w:t>
            </w:r>
          </w:p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Fin de session</w:t>
            </w:r>
          </w:p>
        </w:tc>
      </w:tr>
      <w:tr>
        <w:tc>
          <w:tcPr>
            <w:tcW w:type="pct" w:w="1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Remontée des difficultés, réclamations, aléas</w:t>
            </w:r>
          </w:p>
        </w:tc>
        <w:tc>
          <w:tcPr>
            <w:tcW w:type="pct" w:w="6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31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Sous-traitant</w:t>
            </w:r>
          </w:p>
        </w:tc>
        <w:tc>
          <w:tcPr>
            <w:tcW w:type="pct" w:w="12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Fiche d'incident</w:t>
            </w:r>
          </w:p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Sans délai</w:t>
            </w:r>
          </w:p>
        </w:tc>
      </w:tr>
      <w:tr>
        <w:tc>
          <w:tcPr>
            <w:tcW w:type="pct" w:w="1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Application de la procédure violences, harcèlement, discriminations</w:t>
            </w:r>
          </w:p>
        </w:tc>
        <w:tc>
          <w:tcPr>
            <w:tcW w:type="pct" w:w="6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12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Les deux</w:t>
            </w:r>
          </w:p>
        </w:tc>
        <w:tc>
          <w:tcPr>
            <w:tcW w:type="pct" w:w="12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Accusé de lecture de la procédure T07</w:t>
            </w:r>
          </w:p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Avant la 1re session</w:t>
            </w:r>
          </w:p>
        </w:tc>
      </w:tr>
      <w:tr>
        <w:tc>
          <w:tcPr>
            <w:tcW w:type="pct" w:w="1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Compétences et mise à jour</w:t>
            </w:r>
          </w:p>
        </w:tc>
        <w:tc>
          <w:tcPr>
            <w:tcW w:type="pct" w:w="6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21, 22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Sous-traitant</w:t>
            </w:r>
          </w:p>
        </w:tc>
        <w:tc>
          <w:tcPr>
            <w:tcW w:type="pct" w:w="12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CV daté, justificatifs, formations suivies</w:t>
            </w:r>
          </w:p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Annuel</w:t>
            </w:r>
          </w:p>
        </w:tc>
      </w:tr>
      <w:tr>
        <w:tc>
          <w:tcPr>
            <w:tcW w:type="pct" w:w="1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Utilisation des supports et ressources fournis</w:t>
            </w:r>
          </w:p>
        </w:tc>
        <w:tc>
          <w:tcPr>
            <w:tcW w:type="pct" w:w="6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19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Sous-traitant</w:t>
            </w:r>
          </w:p>
        </w:tc>
        <w:tc>
          <w:tcPr>
            <w:tcW w:type="pct" w:w="12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—</w:t>
            </w:r>
          </w:p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—</w:t>
            </w:r>
          </w:p>
        </w:tc>
      </w:tr>
      <w:tr>
        <w:tc>
          <w:tcPr>
            <w:tcW w:type="pct" w:w="1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Accueil des personnes en situation de handicap</w:t>
            </w:r>
          </w:p>
        </w:tc>
        <w:tc>
          <w:tcPr>
            <w:tcW w:type="pct" w:w="6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26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Les deux</w:t>
            </w:r>
          </w:p>
        </w:tc>
        <w:tc>
          <w:tcPr>
            <w:tcW w:type="pct" w:w="12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Contact du référent communiqué</w:t>
            </w:r>
          </w:p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—</w:t>
            </w:r>
          </w:p>
        </w:tc>
      </w:tr>
      <w:tr>
        <w:tc>
          <w:tcPr>
            <w:tcW w:type="pct" w:w="1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Recueil des appréciations</w:t>
            </w:r>
          </w:p>
        </w:tc>
        <w:tc>
          <w:tcPr>
            <w:tcW w:type="pct" w:w="6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30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Prestataire</w:t>
            </w:r>
          </w:p>
        </w:tc>
        <w:tc>
          <w:tcPr>
            <w:tcW w:type="pct" w:w="12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Questionnaires</w:t>
            </w:r>
          </w:p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Fin de session</w:t>
            </w:r>
          </w:p>
        </w:tc>
      </w:tr>
    </w:tbl>
    <w:p>
      <w:pPr>
        <w:spacing w:after="60"/>
      </w:pPr>
    </w:p>
    <w:p>
      <w:pPr>
        <w:pStyle w:val="Heading3"/>
        <w:spacing w:after="120" w:before="240"/>
      </w:pPr>
      <w:r>
        <w:t xml:space="preserve">2.2 Modalités de contrôle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44"/>
        <w:gridCol w:w="2646"/>
        <w:gridCol w:w="1470"/>
        <w:gridCol w:w="1568"/>
        <w:gridCol w:w="1372"/>
      </w:tblGrid>
      <w:tr>
        <w:trPr>
          <w:tblHeader/>
        </w:trPr>
        <w:tc>
          <w:tcPr>
            <w:tcW w:type="pct" w:w="140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Contrôle</w:t>
            </w:r>
          </w:p>
        </w:tc>
        <w:tc>
          <w:tcPr>
            <w:tcW w:type="pct" w:w="135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Fréquence</w:t>
            </w:r>
          </w:p>
        </w:tc>
        <w:tc>
          <w:tcPr>
            <w:tcW w:type="pct" w:w="75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Responsable</w:t>
            </w:r>
          </w:p>
        </w:tc>
        <w:tc>
          <w:tcPr>
            <w:tcW w:type="pct" w:w="80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Date réalisée</w:t>
            </w:r>
          </w:p>
        </w:tc>
        <w:tc>
          <w:tcPr>
            <w:tcW w:type="pct" w:w="70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Résultat</w:t>
            </w:r>
          </w:p>
        </w:tc>
      </w:tr>
      <w:tr>
        <w:tc>
          <w:tcPr>
            <w:tcW w:type="pct" w:w="1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Revue documentaire</w:t>
            </w:r>
          </w:p>
        </w:tc>
        <w:tc>
          <w:tcPr>
            <w:tcW w:type="pct" w:w="13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highlight w:val="yellow"/>
              </w:rPr>
              <w:t xml:space="preserve">[à chaque session / trimestre]</w:t>
            </w:r>
          </w:p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c>
          <w:tcPr>
            <w:tcW w:type="pct" w:w="1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Observation d'une séance</w:t>
            </w:r>
          </w:p>
        </w:tc>
        <w:tc>
          <w:tcPr>
            <w:tcW w:type="pct" w:w="13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highlight w:val="yellow"/>
              </w:rPr>
              <w:t xml:space="preserve">[1 fois par an]</w:t>
            </w:r>
          </w:p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c>
          <w:tcPr>
            <w:tcW w:type="pct" w:w="1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Analyse des appréciations</w:t>
            </w:r>
          </w:p>
        </w:tc>
        <w:tc>
          <w:tcPr>
            <w:tcW w:type="pct" w:w="13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highlight w:val="yellow"/>
              </w:rPr>
              <w:t xml:space="preserve">[chaque session]</w:t>
            </w:r>
          </w:p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c>
          <w:tcPr>
            <w:tcW w:type="pct" w:w="1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Bilan annuel</w:t>
            </w:r>
          </w:p>
        </w:tc>
        <w:tc>
          <w:tcPr>
            <w:tcW w:type="pct" w:w="13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annuel</w:t>
            </w:r>
          </w:p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p>
      <w:pPr>
        <w:spacing w:after="60"/>
      </w:pPr>
    </w:p>
    <w:p>
      <w:pPr>
        <w:pStyle w:val="Heading3"/>
        <w:spacing w:after="120" w:before="240"/>
      </w:pPr>
      <w:r>
        <w:t xml:space="preserve">2.3 Signatures</w:t>
      </w:r>
    </w:p>
    <w:p>
      <w:pPr>
        <w:spacing w:after="120"/>
      </w:pPr>
      <w:r>
        <w:t xml:space="preserve">Pour le Prestataire : </w:t>
      </w:r>
      <w:r>
        <w:rPr>
          <w:highlight w:val="yellow"/>
        </w:rPr>
        <w:t xml:space="preserve">[nom, fonction, date]</w:t>
      </w:r>
      <w:r>
        <w:t xml:space="preserve"> — Pour le </w:t>
      </w:r>
      <w:r>
        <w:rPr>
          <w:highlight w:val="yellow"/>
        </w:rPr>
        <w:t xml:space="preserve">[Sous-traitant / Consultant porté]</w:t>
      </w:r>
      <w:r>
        <w:t xml:space="preserve"> : </w:t>
      </w:r>
      <w:r>
        <w:rPr>
          <w:highlight w:val="yellow"/>
        </w:rPr>
        <w:t xml:space="preserve">[nom, date]</w:t>
      </w:r>
    </w:p>
    <w:p>
      <w:pPr>
        <w:pStyle w:val="Heading2"/>
        <w:spacing w:after="120" w:before="240"/>
      </w:pPr>
      <w:r>
        <w:t xml:space="preserve">3. Liste des sous-traitants et portés (interne)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74"/>
        <w:gridCol w:w="2450"/>
        <w:gridCol w:w="1568"/>
        <w:gridCol w:w="2548"/>
        <w:gridCol w:w="1960"/>
      </w:tblGrid>
      <w:tr>
        <w:trPr>
          <w:tblHeader/>
        </w:trPr>
        <w:tc>
          <w:tcPr>
            <w:tcW w:type="pct" w:w="65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Nom</w:t>
            </w:r>
          </w:p>
        </w:tc>
        <w:tc>
          <w:tcPr>
            <w:tcW w:type="pct" w:w="125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Type (sous-traitance / portage)</w:t>
            </w:r>
          </w:p>
        </w:tc>
        <w:tc>
          <w:tcPr>
            <w:tcW w:type="pct" w:w="80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Missions</w:t>
            </w:r>
          </w:p>
        </w:tc>
        <w:tc>
          <w:tcPr>
            <w:tcW w:type="pct" w:w="130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Contrat avec clause qualité (date)</w:t>
            </w:r>
          </w:p>
        </w:tc>
        <w:tc>
          <w:tcPr>
            <w:tcW w:type="pct" w:w="100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Dernier contrôle</w:t>
            </w:r>
          </w:p>
        </w:tc>
      </w:tr>
      <w:tr>
        <w:tc>
          <w:tcPr>
            <w:tcW w:type="pct" w:w="6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12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1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10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p>
      <w:pPr>
        <w:spacing w:after="60"/>
      </w:pPr>
    </w:p>
    <w:p>
      <w:pPr>
        <w:pBdr>
          <w:bottom w:val="single" w:color="BFBFBF" w:sz="6" w:space="1"/>
        </w:pBdr>
      </w:pPr>
    </w:p>
    <w:p>
      <w:pPr>
        <w:pStyle w:val="Heading2"/>
        <w:spacing w:after="120" w:before="240"/>
      </w:pPr>
      <w:r>
        <w:t xml:space="preserve">Avertissement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Ce kit est un outil d'organisation et d'information. Il ne constitue ni un conseil juridique, ni une prestation d'accompagnement, ni un audit.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Son utilisation ne garantit pas l'obtention, le maintien ou le renouvellement de la certification : seul un organisme certificateur accrédité ou autorisé décide, après audit, sur la base du référentiel en vigueur et de son guide de lecture.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Les modèles sont à adapter à votre organisme : un document recopié sans être appliqué n'est pas une preuve. L'auditeur vérifie la mise en œuvre réelle.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Qualiopi est une marque de l'État (ministère chargé de la formation professionnelle). Ce kit est un produit indépendant : il n'est ni édité, ni validé, ni approuvé par l'État, France compétences, le COFRAC ou un organisme certificateur. Il ne contient pas et ne vous autorise pas à utiliser le logo Qualiopi, dont l'usage est régi par sa charte.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 texte de référence fait foi : en cas de doute, reportez-vous au décret n° 2026-728 et à l'annexe du code du travail sur Légifrance, puis au guide de lecture officiel dès sa publication.</w:t>
      </w:r>
    </w:p>
    <w:sectPr>
      <w:headerReference w:type="default" r:id="rId6"/>
      <w:footerReference w:type="default" r:id="rId7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F7F7F"/>
        <w:sz w:val="16"/>
        <w:szCs w:val="16"/>
      </w:rPr>
      <w:t xml:space="preserve">Kit Qualiopi V10 v1.1.0 — © READ FRANCE SAS — information, pas un conseil juridique — page </w:t>
    </w:r>
    <w:r>
      <w:rPr>
        <w:color w:val="7F7F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7F7F7F"/>
        <w:sz w:val="16"/>
        <w:szCs w:val="16"/>
      </w:rPr>
      <w:t xml:space="preserve">Clause et annexe qualité pour la sous-traitance et le portage salarial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260"/>
      </w:pPr>
    </w:lvl>
    <w:lvl w:ilvl="1" w:tentative="1">
      <w:start w:val="1"/>
      <w:numFmt w:val="decimal"/>
      <w:lvlText w:val="%2."/>
      <w:lvlJc w:val="left"/>
      <w:pPr>
        <w:ind w:left="720" w:hanging="260"/>
      </w:pPr>
    </w:lvl>
    <w:lvl w:ilvl="2" w:tentative="1">
      <w:start w:val="1"/>
      <w:numFmt w:val="decimal"/>
      <w:lvlText w:val="%3."/>
      <w:lvlJc w:val="left"/>
      <w:pPr>
        <w:ind w:left="1080" w:hanging="260"/>
      </w:pPr>
    </w:lvl>
    <w:lvl w:ilvl="3" w:tentative="1">
      <w:start w:val="1"/>
      <w:numFmt w:val="decimal"/>
      <w:lvlText w:val="%4."/>
      <w:lvlJc w:val="left"/>
      <w:pPr>
        <w:ind w:left="144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b/>
      <w:bCs/>
      <w:color w:val="1F4E79"/>
      <w:sz w:val="34"/>
      <w:szCs w:val="34"/>
    </w:rPr>
  </w:style>
  <w:style w:type="paragraph" w:styleId="Heading2">
    <w:name w:val="Heading 2"/>
    <w:basedOn w:val="Normal"/>
    <w:next w:val="Normal"/>
    <w:qFormat/>
    <w:rPr>
      <w:b/>
      <w:bCs/>
      <w:color w:val="1F4E79"/>
      <w:sz w:val="27"/>
      <w:szCs w:val="27"/>
    </w:rPr>
  </w:style>
  <w:style w:type="paragraph" w:styleId="Heading3">
    <w:name w:val="Heading 3"/>
    <w:basedOn w:val="Normal"/>
    <w:next w:val="Normal"/>
    <w:qFormat/>
    <w:rPr>
      <w:b/>
      <w:bCs/>
      <w:color w:val="2E2E2E"/>
      <w:sz w:val="23"/>
      <w:szCs w:val="23"/>
    </w:rPr>
  </w:style>
  <w:style w:type="paragraph" w:styleId="Heading4">
    <w:name w:val="Heading 4"/>
    <w:basedOn w:val="Normal"/>
    <w:next w:val="Normal"/>
    <w:qFormat/>
    <w:rPr>
      <w:b/>
      <w:bCs/>
      <w:sz w:val="21"/>
      <w:szCs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Clause et annexe qualité pour la sous-traitance et le portage salarial</dc:title>
  <dc:creator>READ FRANCE SAS</dc:creator>
  <dc:description>Kit Qualiopi V10 — READ FRANCE SAS</dc:description>
  <cp:lastModifiedBy>Un-named</cp:lastModifiedBy>
  <cp:revision>1</cp:revision>
  <dcterms:created xsi:type="dcterms:W3CDTF">2026-10-12T23:21:00.085Z</dcterms:created>
  <dcterms:modified xsi:type="dcterms:W3CDTF">2026-10-12T23:21:00.085Z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