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before="0"/>
      </w:pPr>
      <w:r>
        <w:t xml:space="preserve">Procédure de prévention des ruptures et des violences, harcèlement et discriminations</w:t>
      </w:r>
    </w:p>
    <w:p>
      <w:pPr>
        <w:spacing w:after="120"/>
      </w:pPr>
      <w:r>
        <w:rPr>
          <w:i/>
          <w:iCs/>
        </w:rPr>
        <w:t xml:space="preserve">Kit Qualiopi V10 — version 1.1.0 du 13/10/2026 — READ FRANCE SAS</w:t>
      </w:r>
    </w:p>
    <w:p>
      <w:pPr>
        <w:spacing w:after="120"/>
      </w:pPr>
      <w:r>
        <w:rPr>
          <w:b/>
          <w:bCs/>
        </w:rPr>
        <w:t xml:space="preserve">Indicateurs du référentiel 2026 :</w:t>
      </w:r>
      <w:r>
        <w:t xml:space="preserve"> 12, 14</w:t>
      </w:r>
    </w:p>
    <w:p>
      <w:pPr>
        <w:pBdr>
          <w:left w:val="single" w:color="1F4E79" w:sz="18" w:space="8"/>
        </w:pBdr>
        <w:shd w:fill="EAF1F8" w:color="auto" w:val="clear"/>
        <w:spacing w:after="120"/>
        <w:ind w:left="200" w:right="200"/>
      </w:pPr>
      <w:r>
        <w:rPr>
          <w:b/>
          <w:bCs/>
          <w:color w:val="1F3A5F"/>
        </w:rPr>
        <w:t xml:space="preserve">Comment utiliser ce modèle.</w:t>
      </w:r>
      <w:r>
        <w:rPr>
          <w:color w:val="1F3A5F"/>
        </w:rPr>
        <w:t xml:space="preserve"> L'indicateur 12 du référentiel 2026 ajoute l'obligation de s'assurer de la prévention et du traitement de toute situation de violence (y compris sexiste et sexuelle), de harcèlement ou de discrimination. Pour les CFA, l'indicateur 14 exige en plus un traitement </w:t>
      </w:r>
      <w:r>
        <w:rPr>
          <w:b/>
          <w:bCs/>
          <w:color w:val="1F3A5F"/>
        </w:rPr>
        <w:t xml:space="preserve">sans délai</w:t>
      </w:r>
      <w:r>
        <w:rPr>
          <w:color w:val="1F3A5F"/>
        </w:rPr>
        <w:t xml:space="preserve"> des situations de rupture liées à des difficultés, violences ou discriminations, en formation ou en entreprise. Adaptez les noms, délais et canaux à votre organisme : une procédure qui ne nomme personne ne prouve rien. Faites-la valider par votre direction et, si besoin, par un conseil juridique.</w:t>
      </w:r>
    </w:p>
    <w:p>
      <w:pPr>
        <w:spacing w:after="120"/>
      </w:pPr>
      <w:r>
        <w:rPr>
          <w:b/>
          <w:bCs/>
        </w:rPr>
        <w:t xml:space="preserve">Organisme :</w:t>
      </w:r>
      <w:r>
        <w:t xml:space="preserve"> </w:t>
      </w:r>
      <w:r>
        <w:rPr>
          <w:highlight w:val="yellow"/>
        </w:rPr>
        <w:t xml:space="preserve">[À compléter]</w:t>
      </w:r>
      <w:r>
        <w:t xml:space="preserve"> — </w:t>
      </w:r>
      <w:r>
        <w:rPr>
          <w:b/>
          <w:bCs/>
        </w:rPr>
        <w:t xml:space="preserve">Version :</w:t>
      </w:r>
      <w:r>
        <w:t xml:space="preserve"> </w:t>
      </w:r>
      <w:r>
        <w:rPr>
          <w:highlight w:val="yellow"/>
        </w:rPr>
        <w:t xml:space="preserve">[n°]</w:t>
      </w:r>
      <w:r>
        <w:t xml:space="preserve"> — </w:t>
      </w:r>
      <w:r>
        <w:rPr>
          <w:b/>
          <w:bCs/>
        </w:rPr>
        <w:t xml:space="preserve">Date d'application :</w:t>
      </w:r>
      <w:r>
        <w:t xml:space="preserve"> </w:t>
      </w:r>
      <w:r>
        <w:rPr>
          <w:highlight w:val="yellow"/>
        </w:rPr>
        <w:t xml:space="preserve">[JJ/MM/AAAA]</w:t>
      </w:r>
      <w:r>
        <w:t xml:space="preserve"> — </w:t>
      </w:r>
      <w:r>
        <w:rPr>
          <w:b/>
          <w:bCs/>
        </w:rPr>
        <w:t xml:space="preserve">Validée par :</w:t>
      </w:r>
      <w:r>
        <w:t xml:space="preserve"> </w:t>
      </w:r>
      <w:r>
        <w:rPr>
          <w:highlight w:val="yellow"/>
        </w:rPr>
        <w:t xml:space="preserve">[nom, fonction]</w:t>
      </w:r>
    </w:p>
    <w:p>
      <w:pPr>
        <w:pStyle w:val="Heading2"/>
        <w:spacing w:after="120" w:before="240"/>
      </w:pPr>
      <w:r>
        <w:t xml:space="preserve">1. Objet et champ d'application</w:t>
      </w:r>
    </w:p>
    <w:p>
      <w:pPr>
        <w:spacing w:after="120"/>
      </w:pPr>
      <w:r>
        <w:t xml:space="preserve">Cette procédure s'applique à toutes les prestations de </w:t>
      </w:r>
      <w:r>
        <w:rPr>
          <w:highlight w:val="yellow"/>
        </w:rPr>
        <w:t xml:space="preserve">[organisme]</w:t>
      </w:r>
      <w:r>
        <w:t xml:space="preserve">, en présentiel, à distance et, pour l'alternance, pendant les périodes en entreprise. Elle concerne les bénéficiaires, les formateurs salariés et externes, les sous-traitants et toute personne intervenant dans la prestation.</w:t>
      </w:r>
    </w:p>
    <w:p>
      <w:pPr>
        <w:spacing w:after="120"/>
      </w:pPr>
      <w:r>
        <w:t xml:space="preserve">Elle poursuit deux objectifs :</w:t>
      </w:r>
    </w:p>
    <w:p>
      <w:pPr>
        <w:pStyle w:val="ListParagraph"/>
        <w:numPr>
          <w:ilvl w:val="0"/>
          <w:numId w:val="2"/>
        </w:numPr>
        <w:spacing w:after="60"/>
      </w:pPr>
      <w:r>
        <w:rPr>
          <w:b/>
          <w:bCs/>
        </w:rPr>
        <w:t xml:space="preserve">Favoriser l'engagement et prévenir les abandons</w:t>
      </w:r>
      <w:r>
        <w:t xml:space="preserve"> (ruptures de parcours).</w:t>
      </w:r>
    </w:p>
    <w:p>
      <w:pPr>
        <w:pStyle w:val="ListParagraph"/>
        <w:numPr>
          <w:ilvl w:val="0"/>
          <w:numId w:val="2"/>
        </w:numPr>
        <w:spacing w:after="60"/>
      </w:pPr>
      <w:r>
        <w:rPr>
          <w:b/>
          <w:bCs/>
        </w:rPr>
        <w:t xml:space="preserve">Prévenir et traiter</w:t>
      </w:r>
      <w:r>
        <w:t xml:space="preserve"> toute situation de violence, y compris sexiste et sexuelle, de harcèlement (moral ou sexuel) ou de discrimination.</w:t>
      </w:r>
    </w:p>
    <w:p>
      <w:pPr>
        <w:pStyle w:val="Heading2"/>
        <w:spacing w:after="120" w:before="240"/>
      </w:pPr>
      <w:r>
        <w:t xml:space="preserve">2. Rôles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920"/>
        <w:gridCol w:w="2254"/>
        <w:gridCol w:w="1666"/>
        <w:gridCol w:w="1960"/>
      </w:tblGrid>
      <w:tr>
        <w:trPr>
          <w:tblHeader/>
        </w:trPr>
        <w:tc>
          <w:tcPr>
            <w:tcW w:type="pct" w:w="2000"/>
            <w:shd w:fill="1F4E79" w:color="auto" w:val="clear"/>
            <w:tcMar>
              <w:top w:type="dxa" w:w="60"/>
              <w:left w:type="dxa" w:w="80"/>
              <w:bottom w:type="dxa" w:w="60"/>
              <w:right w:type="dxa" w:w="80"/>
            </w:tcMar>
          </w:tcPr>
          <w:p>
            <w:r>
              <w:rPr>
                <w:b/>
                <w:bCs/>
                <w:color w:val="FFFFFF"/>
              </w:rPr>
              <w:t xml:space="preserve">Rôle</w:t>
            </w:r>
          </w:p>
        </w:tc>
        <w:tc>
          <w:tcPr>
            <w:tcW w:type="pct" w:w="1150"/>
            <w:shd w:fill="1F4E79" w:color="auto" w:val="clear"/>
            <w:tcMar>
              <w:top w:type="dxa" w:w="60"/>
              <w:left w:type="dxa" w:w="80"/>
              <w:bottom w:type="dxa" w:w="60"/>
              <w:right w:type="dxa" w:w="80"/>
            </w:tcMar>
          </w:tcPr>
          <w:p>
            <w:r>
              <w:rPr>
                <w:b/>
                <w:bCs/>
                <w:color w:val="FFFFFF"/>
              </w:rPr>
              <w:t xml:space="preserve">Nom</w:t>
            </w:r>
          </w:p>
        </w:tc>
        <w:tc>
          <w:tcPr>
            <w:tcW w:type="pct" w:w="850"/>
            <w:shd w:fill="1F4E79" w:color="auto" w:val="clear"/>
            <w:tcMar>
              <w:top w:type="dxa" w:w="60"/>
              <w:left w:type="dxa" w:w="80"/>
              <w:bottom w:type="dxa" w:w="60"/>
              <w:right w:type="dxa" w:w="80"/>
            </w:tcMar>
          </w:tcPr>
          <w:p>
            <w:r>
              <w:rPr>
                <w:b/>
                <w:bCs/>
                <w:color w:val="FFFFFF"/>
              </w:rPr>
              <w:t xml:space="preserve">Suppléant</w:t>
            </w:r>
          </w:p>
        </w:tc>
        <w:tc>
          <w:tcPr>
            <w:tcW w:type="pct" w:w="1000"/>
            <w:shd w:fill="1F4E79" w:color="auto" w:val="clear"/>
            <w:tcMar>
              <w:top w:type="dxa" w:w="60"/>
              <w:left w:type="dxa" w:w="80"/>
              <w:bottom w:type="dxa" w:w="60"/>
              <w:right w:type="dxa" w:w="80"/>
            </w:tcMar>
          </w:tcPr>
          <w:p>
            <w:r>
              <w:rPr>
                <w:b/>
                <w:bCs/>
                <w:color w:val="FFFFFF"/>
              </w:rPr>
              <w:t xml:space="preserve">Contact</w:t>
            </w:r>
          </w:p>
        </w:tc>
      </w:tr>
      <w:tr>
        <w:tc>
          <w:tcPr>
            <w:tcW w:type="pct" w:w="2000"/>
            <w:tcMar>
              <w:top w:type="dxa" w:w="60"/>
              <w:left w:type="dxa" w:w="80"/>
              <w:bottom w:type="dxa" w:w="60"/>
              <w:right w:type="dxa" w:w="80"/>
            </w:tcMar>
          </w:tcPr>
          <w:p>
            <w:r>
              <w:t xml:space="preserve">Personne référente « violences, harcèlement, discriminations »</w:t>
            </w:r>
          </w:p>
        </w:tc>
        <w:tc>
          <w:tcPr>
            <w:tcW w:type="pct" w:w="1150"/>
            <w:tcMar>
              <w:top w:type="dxa" w:w="60"/>
              <w:left w:type="dxa" w:w="80"/>
              <w:bottom w:type="dxa" w:w="60"/>
              <w:right w:type="dxa" w:w="80"/>
            </w:tcMar>
          </w:tcPr>
          <w:p>
            <w:r>
              <w:rPr>
                <w:highlight w:val="yellow"/>
              </w:rPr>
              <w:t xml:space="preserve">[À compléter]</w:t>
            </w:r>
          </w:p>
        </w:tc>
        <w:tc>
          <w:tcPr>
            <w:tcW w:type="pct" w:w="850"/>
            <w:tcMar>
              <w:top w:type="dxa" w:w="60"/>
              <w:left w:type="dxa" w:w="80"/>
              <w:bottom w:type="dxa" w:w="60"/>
              <w:right w:type="dxa" w:w="80"/>
            </w:tcMar>
          </w:tcPr>
          <w:p>
            <w:r>
              <w:rPr>
                <w:highlight w:val="yellow"/>
              </w:rPr>
              <w:t xml:space="preserve">[À compléter]</w:t>
            </w:r>
          </w:p>
        </w:tc>
        <w:tc>
          <w:tcPr>
            <w:tcW w:type="pct" w:w="1000"/>
            <w:tcMar>
              <w:top w:type="dxa" w:w="60"/>
              <w:left w:type="dxa" w:w="80"/>
              <w:bottom w:type="dxa" w:w="60"/>
              <w:right w:type="dxa" w:w="80"/>
            </w:tcMar>
          </w:tcPr>
          <w:p>
            <w:r>
              <w:rPr>
                <w:highlight w:val="yellow"/>
              </w:rPr>
              <w:t xml:space="preserve">[téléphone, adresse dédiée]</w:t>
            </w:r>
          </w:p>
        </w:tc>
      </w:tr>
      <w:tr>
        <w:tc>
          <w:tcPr>
            <w:tcW w:type="pct" w:w="2000"/>
            <w:tcMar>
              <w:top w:type="dxa" w:w="60"/>
              <w:left w:type="dxa" w:w="80"/>
              <w:bottom w:type="dxa" w:w="60"/>
              <w:right w:type="dxa" w:w="80"/>
            </w:tcMar>
          </w:tcPr>
          <w:p>
            <w:r>
              <w:t xml:space="preserve">Responsable pédagogique (prévention des abandons)</w:t>
            </w:r>
          </w:p>
        </w:tc>
        <w:tc>
          <w:tcPr>
            <w:tcW w:type="pct" w:w="1150"/>
            <w:tcMar>
              <w:top w:type="dxa" w:w="60"/>
              <w:left w:type="dxa" w:w="80"/>
              <w:bottom w:type="dxa" w:w="60"/>
              <w:right w:type="dxa" w:w="80"/>
            </w:tcMar>
          </w:tcPr>
          <w:p>
            <w:r>
              <w:rPr>
                <w:highlight w:val="yellow"/>
              </w:rPr>
              <w:t xml:space="preserve">[À compléter]</w:t>
            </w:r>
          </w:p>
        </w:tc>
        <w:tc>
          <w:tcPr>
            <w:tcW w:type="pct" w:w="850"/>
            <w:tcMar>
              <w:top w:type="dxa" w:w="60"/>
              <w:left w:type="dxa" w:w="80"/>
              <w:bottom w:type="dxa" w:w="60"/>
              <w:right w:type="dxa" w:w="80"/>
            </w:tcMar>
          </w:tcPr>
          <w:p/>
        </w:tc>
        <w:tc>
          <w:tcPr>
            <w:tcW w:type="pct" w:w="1000"/>
            <w:tcMar>
              <w:top w:type="dxa" w:w="60"/>
              <w:left w:type="dxa" w:w="80"/>
              <w:bottom w:type="dxa" w:w="60"/>
              <w:right w:type="dxa" w:w="80"/>
            </w:tcMar>
          </w:tcPr>
          <w:p/>
        </w:tc>
      </w:tr>
      <w:tr>
        <w:tc>
          <w:tcPr>
            <w:tcW w:type="pct" w:w="2000"/>
            <w:tcMar>
              <w:top w:type="dxa" w:w="60"/>
              <w:left w:type="dxa" w:w="80"/>
              <w:bottom w:type="dxa" w:w="60"/>
              <w:right w:type="dxa" w:w="80"/>
            </w:tcMar>
          </w:tcPr>
          <w:p>
            <w:r>
              <w:t xml:space="preserve">Direction (décisions et mesures conservatoires)</w:t>
            </w:r>
          </w:p>
        </w:tc>
        <w:tc>
          <w:tcPr>
            <w:tcW w:type="pct" w:w="1150"/>
            <w:tcMar>
              <w:top w:type="dxa" w:w="60"/>
              <w:left w:type="dxa" w:w="80"/>
              <w:bottom w:type="dxa" w:w="60"/>
              <w:right w:type="dxa" w:w="80"/>
            </w:tcMar>
          </w:tcPr>
          <w:p>
            <w:r>
              <w:rPr>
                <w:highlight w:val="yellow"/>
              </w:rPr>
              <w:t xml:space="preserve">[À compléter]</w:t>
            </w:r>
          </w:p>
        </w:tc>
        <w:tc>
          <w:tcPr>
            <w:tcW w:type="pct" w:w="850"/>
            <w:tcMar>
              <w:top w:type="dxa" w:w="60"/>
              <w:left w:type="dxa" w:w="80"/>
              <w:bottom w:type="dxa" w:w="60"/>
              <w:right w:type="dxa" w:w="80"/>
            </w:tcMar>
          </w:tcPr>
          <w:p/>
        </w:tc>
        <w:tc>
          <w:tcPr>
            <w:tcW w:type="pct" w:w="1000"/>
            <w:tcMar>
              <w:top w:type="dxa" w:w="60"/>
              <w:left w:type="dxa" w:w="80"/>
              <w:bottom w:type="dxa" w:w="60"/>
              <w:right w:type="dxa" w:w="80"/>
            </w:tcMar>
          </w:tcPr>
          <w:p/>
        </w:tc>
      </w:tr>
      <w:tr>
        <w:tc>
          <w:tcPr>
            <w:tcW w:type="pct" w:w="2000"/>
            <w:tcMar>
              <w:top w:type="dxa" w:w="60"/>
              <w:left w:type="dxa" w:w="80"/>
              <w:bottom w:type="dxa" w:w="60"/>
              <w:right w:type="dxa" w:w="80"/>
            </w:tcMar>
          </w:tcPr>
          <w:p>
            <w:r>
              <w:t xml:space="preserve">CFA : référent socio-professionnel / mobilité</w:t>
            </w:r>
          </w:p>
        </w:tc>
        <w:tc>
          <w:tcPr>
            <w:tcW w:type="pct" w:w="1150"/>
            <w:tcMar>
              <w:top w:type="dxa" w:w="60"/>
              <w:left w:type="dxa" w:w="80"/>
              <w:bottom w:type="dxa" w:w="60"/>
              <w:right w:type="dxa" w:w="80"/>
            </w:tcMar>
          </w:tcPr>
          <w:p>
            <w:r>
              <w:rPr>
                <w:highlight w:val="yellow"/>
              </w:rPr>
              <w:t xml:space="preserve">[À compléter]</w:t>
            </w:r>
          </w:p>
        </w:tc>
        <w:tc>
          <w:tcPr>
            <w:tcW w:type="pct" w:w="850"/>
            <w:tcMar>
              <w:top w:type="dxa" w:w="60"/>
              <w:left w:type="dxa" w:w="80"/>
              <w:bottom w:type="dxa" w:w="60"/>
              <w:right w:type="dxa" w:w="80"/>
            </w:tcMar>
          </w:tcPr>
          <w:p/>
        </w:tc>
        <w:tc>
          <w:tcPr>
            <w:tcW w:type="pct" w:w="1000"/>
            <w:tcMar>
              <w:top w:type="dxa" w:w="60"/>
              <w:left w:type="dxa" w:w="80"/>
              <w:bottom w:type="dxa" w:w="60"/>
              <w:right w:type="dxa" w:w="80"/>
            </w:tcMar>
          </w:tcPr>
          <w:p/>
        </w:tc>
      </w:tr>
    </w:tbl>
    <w:p>
      <w:pPr>
        <w:spacing w:after="60"/>
      </w:pPr>
    </w:p>
    <w:p>
      <w:pPr>
        <w:pBdr>
          <w:left w:val="single" w:color="1F4E79" w:sz="18" w:space="8"/>
        </w:pBdr>
        <w:shd w:fill="EAF1F8" w:color="auto" w:val="clear"/>
        <w:spacing w:after="120"/>
        <w:ind w:left="200" w:right="200"/>
      </w:pPr>
      <w:r>
        <w:rPr>
          <w:color w:val="1F3A5F"/>
        </w:rPr>
        <w:t xml:space="preserve">Prévoyez toujours un </w:t>
      </w:r>
      <w:r>
        <w:rPr>
          <w:b/>
          <w:bCs/>
          <w:color w:val="1F3A5F"/>
        </w:rPr>
        <w:t xml:space="preserve">second canal</w:t>
      </w:r>
      <w:r>
        <w:rPr>
          <w:color w:val="1F3A5F"/>
        </w:rPr>
        <w:t xml:space="preserve"> qui ne passe pas par la personne potentiellement mise en cause (ex. : si le référent est aussi formateur, désignez un suppléant extérieur à l'équipe pédagogique).</w:t>
      </w:r>
    </w:p>
    <w:p>
      <w:pPr>
        <w:pStyle w:val="Heading2"/>
        <w:spacing w:after="120" w:before="240"/>
      </w:pPr>
      <w:r>
        <w:t xml:space="preserve">3. Prévention</w:t>
      </w:r>
    </w:p>
    <w:p>
      <w:pPr>
        <w:pStyle w:val="Heading3"/>
        <w:spacing w:after="120" w:before="240"/>
      </w:pPr>
      <w:r>
        <w:t xml:space="preserve">3.1 Information des bénéficiaires</w:t>
      </w:r>
    </w:p>
    <w:p>
      <w:pPr>
        <w:spacing w:after="120"/>
      </w:pPr>
      <w:r>
        <w:t xml:space="preserve">☐ Rubrique dédiée dans le livret d'accueil et le règlement intérieur (interdictions, sanctions, comment signaler)</w:t>
      </w:r>
      <w:r>
        <w:br/>
        <w:t xml:space="preserve">☐ Présentation orale en début de prestation (1 minute suffit) — tracée sur la feuille de déroulé</w:t>
      </w:r>
      <w:r>
        <w:br/>
        <w:t xml:space="preserve">☐ Affichage dans les locaux et rubrique sur la plateforme à distance</w:t>
      </w:r>
      <w:r>
        <w:br/>
        <w:t xml:space="preserve">☐ Coordonnées des recours externes communiquées (voir § 6)</w:t>
      </w:r>
    </w:p>
    <w:p>
      <w:pPr>
        <w:pStyle w:val="Heading3"/>
        <w:spacing w:after="120" w:before="240"/>
      </w:pPr>
      <w:r>
        <w:t xml:space="preserve">3.2 Sensibilisation des intervenants</w:t>
      </w:r>
    </w:p>
    <w:p>
      <w:pPr>
        <w:spacing w:after="120"/>
      </w:pPr>
      <w:r>
        <w:t xml:space="preserve">☐ Sensibilisation de chaque formateur à son arrivée (date, contenu, émargement)</w:t>
      </w:r>
      <w:r>
        <w:br/>
        <w:t xml:space="preserve">☐ Clause dans les contrats des intervenants externes (voir T13)</w:t>
      </w:r>
      <w:r>
        <w:br/>
        <w:t xml:space="preserve">☐ Rappel annuel en réunion d'équipe</w:t>
      </w:r>
    </w:p>
    <w:p>
      <w:pPr>
        <w:pStyle w:val="Heading3"/>
        <w:spacing w:after="120" w:before="240"/>
      </w:pPr>
      <w:r>
        <w:t xml:space="preserve">3.3 Prévention des abandons (ruptures de parcours)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646"/>
        <w:gridCol w:w="1960"/>
        <w:gridCol w:w="2646"/>
        <w:gridCol w:w="1372"/>
        <w:gridCol w:w="1274"/>
      </w:tblGrid>
      <w:tr>
        <w:trPr>
          <w:tblHeader/>
        </w:trPr>
        <w:tc>
          <w:tcPr>
            <w:tcW w:type="pct" w:w="1350"/>
            <w:shd w:fill="1F4E79" w:color="auto" w:val="clear"/>
            <w:tcMar>
              <w:top w:type="dxa" w:w="60"/>
              <w:left w:type="dxa" w:w="80"/>
              <w:bottom w:type="dxa" w:w="60"/>
              <w:right w:type="dxa" w:w="80"/>
            </w:tcMar>
          </w:tcPr>
          <w:p>
            <w:r>
              <w:rPr>
                <w:b/>
                <w:bCs/>
                <w:color w:val="FFFFFF"/>
              </w:rPr>
              <w:t xml:space="preserve">Signal d'alerte</w:t>
            </w:r>
          </w:p>
        </w:tc>
        <w:tc>
          <w:tcPr>
            <w:tcW w:type="pct" w:w="1000"/>
            <w:shd w:fill="1F4E79" w:color="auto" w:val="clear"/>
            <w:tcMar>
              <w:top w:type="dxa" w:w="60"/>
              <w:left w:type="dxa" w:w="80"/>
              <w:bottom w:type="dxa" w:w="60"/>
              <w:right w:type="dxa" w:w="80"/>
            </w:tcMar>
          </w:tcPr>
          <w:p>
            <w:r>
              <w:rPr>
                <w:b/>
                <w:bCs/>
                <w:color w:val="FFFFFF"/>
              </w:rPr>
              <w:t xml:space="preserve">Seuil</w:t>
            </w:r>
          </w:p>
        </w:tc>
        <w:tc>
          <w:tcPr>
            <w:tcW w:type="pct" w:w="1350"/>
            <w:shd w:fill="1F4E79" w:color="auto" w:val="clear"/>
            <w:tcMar>
              <w:top w:type="dxa" w:w="60"/>
              <w:left w:type="dxa" w:w="80"/>
              <w:bottom w:type="dxa" w:w="60"/>
              <w:right w:type="dxa" w:w="80"/>
            </w:tcMar>
          </w:tcPr>
          <w:p>
            <w:r>
              <w:rPr>
                <w:b/>
                <w:bCs/>
                <w:color w:val="FFFFFF"/>
              </w:rPr>
              <w:t xml:space="preserve">Action</w:t>
            </w:r>
          </w:p>
        </w:tc>
        <w:tc>
          <w:tcPr>
            <w:tcW w:type="pct" w:w="700"/>
            <w:shd w:fill="1F4E79" w:color="auto" w:val="clear"/>
            <w:tcMar>
              <w:top w:type="dxa" w:w="60"/>
              <w:left w:type="dxa" w:w="80"/>
              <w:bottom w:type="dxa" w:w="60"/>
              <w:right w:type="dxa" w:w="80"/>
            </w:tcMar>
          </w:tcPr>
          <w:p>
            <w:r>
              <w:rPr>
                <w:b/>
                <w:bCs/>
                <w:color w:val="FFFFFF"/>
              </w:rPr>
              <w:t xml:space="preserve">Délai</w:t>
            </w:r>
          </w:p>
        </w:tc>
        <w:tc>
          <w:tcPr>
            <w:tcW w:type="pct" w:w="650"/>
            <w:shd w:fill="1F4E79" w:color="auto" w:val="clear"/>
            <w:tcMar>
              <w:top w:type="dxa" w:w="60"/>
              <w:left w:type="dxa" w:w="80"/>
              <w:bottom w:type="dxa" w:w="60"/>
              <w:right w:type="dxa" w:w="80"/>
            </w:tcMar>
          </w:tcPr>
          <w:p>
            <w:r>
              <w:rPr>
                <w:b/>
                <w:bCs/>
                <w:color w:val="FFFFFF"/>
              </w:rPr>
              <w:t xml:space="preserve">Responsable</w:t>
            </w:r>
          </w:p>
        </w:tc>
      </w:tr>
      <w:tr>
        <w:tc>
          <w:tcPr>
            <w:tcW w:type="pct" w:w="1350"/>
            <w:tcMar>
              <w:top w:type="dxa" w:w="60"/>
              <w:left w:type="dxa" w:w="80"/>
              <w:bottom w:type="dxa" w:w="60"/>
              <w:right w:type="dxa" w:w="80"/>
            </w:tcMar>
          </w:tcPr>
          <w:p>
            <w:r>
              <w:t xml:space="preserve">Absence non justifiée</w:t>
            </w:r>
          </w:p>
        </w:tc>
        <w:tc>
          <w:tcPr>
            <w:tcW w:type="pct" w:w="1000"/>
            <w:tcMar>
              <w:top w:type="dxa" w:w="60"/>
              <w:left w:type="dxa" w:w="80"/>
              <w:bottom w:type="dxa" w:w="60"/>
              <w:right w:type="dxa" w:w="80"/>
            </w:tcMar>
          </w:tcPr>
          <w:p>
            <w:r>
              <w:rPr>
                <w:highlight w:val="yellow"/>
              </w:rPr>
              <w:t xml:space="preserve">[1 demi-journée]</w:t>
            </w:r>
          </w:p>
        </w:tc>
        <w:tc>
          <w:tcPr>
            <w:tcW w:type="pct" w:w="1350"/>
            <w:tcMar>
              <w:top w:type="dxa" w:w="60"/>
              <w:left w:type="dxa" w:w="80"/>
              <w:bottom w:type="dxa" w:w="60"/>
              <w:right w:type="dxa" w:w="80"/>
            </w:tcMar>
          </w:tcPr>
          <w:p>
            <w:r>
              <w:t xml:space="preserve">Contact du participant</w:t>
            </w:r>
          </w:p>
        </w:tc>
        <w:tc>
          <w:tcPr>
            <w:tcW w:type="pct" w:w="700"/>
            <w:tcMar>
              <w:top w:type="dxa" w:w="60"/>
              <w:left w:type="dxa" w:w="80"/>
              <w:bottom w:type="dxa" w:w="60"/>
              <w:right w:type="dxa" w:w="80"/>
            </w:tcMar>
          </w:tcPr>
          <w:p>
            <w:r>
              <w:rPr>
                <w:highlight w:val="yellow"/>
              </w:rPr>
              <w:t xml:space="preserve">[24 h]</w:t>
            </w:r>
          </w:p>
        </w:tc>
        <w:tc>
          <w:tcPr>
            <w:tcW w:type="pct" w:w="650"/>
            <w:tcMar>
              <w:top w:type="dxa" w:w="60"/>
              <w:left w:type="dxa" w:w="80"/>
              <w:bottom w:type="dxa" w:w="60"/>
              <w:right w:type="dxa" w:w="80"/>
            </w:tcMar>
          </w:tcPr>
          <w:p>
            <w:r>
              <w:t xml:space="preserve">[ ]</w:t>
            </w:r>
          </w:p>
        </w:tc>
      </w:tr>
      <w:tr>
        <w:tc>
          <w:tcPr>
            <w:tcW w:type="pct" w:w="1350"/>
            <w:tcMar>
              <w:top w:type="dxa" w:w="60"/>
              <w:left w:type="dxa" w:w="80"/>
              <w:bottom w:type="dxa" w:w="60"/>
              <w:right w:type="dxa" w:w="80"/>
            </w:tcMar>
          </w:tcPr>
          <w:p>
            <w:r>
              <w:t xml:space="preserve">Inactivité sur la plateforme à distance</w:t>
            </w:r>
          </w:p>
        </w:tc>
        <w:tc>
          <w:tcPr>
            <w:tcW w:type="pct" w:w="1000"/>
            <w:tcMar>
              <w:top w:type="dxa" w:w="60"/>
              <w:left w:type="dxa" w:w="80"/>
              <w:bottom w:type="dxa" w:w="60"/>
              <w:right w:type="dxa" w:w="80"/>
            </w:tcMar>
          </w:tcPr>
          <w:p>
            <w:r>
              <w:rPr>
                <w:highlight w:val="yellow"/>
              </w:rPr>
              <w:t xml:space="preserve">[7 jours]</w:t>
            </w:r>
          </w:p>
        </w:tc>
        <w:tc>
          <w:tcPr>
            <w:tcW w:type="pct" w:w="1350"/>
            <w:tcMar>
              <w:top w:type="dxa" w:w="60"/>
              <w:left w:type="dxa" w:w="80"/>
              <w:bottom w:type="dxa" w:w="60"/>
              <w:right w:type="dxa" w:w="80"/>
            </w:tcMar>
          </w:tcPr>
          <w:p>
            <w:r>
              <w:t xml:space="preserve">Relance personnalisée puis appel</w:t>
            </w:r>
          </w:p>
        </w:tc>
        <w:tc>
          <w:tcPr>
            <w:tcW w:type="pct" w:w="700"/>
            <w:tcMar>
              <w:top w:type="dxa" w:w="60"/>
              <w:left w:type="dxa" w:w="80"/>
              <w:bottom w:type="dxa" w:w="60"/>
              <w:right w:type="dxa" w:w="80"/>
            </w:tcMar>
          </w:tcPr>
          <w:p>
            <w:r>
              <w:rPr>
                <w:highlight w:val="yellow"/>
              </w:rPr>
              <w:t xml:space="preserve">[48 h]</w:t>
            </w:r>
          </w:p>
        </w:tc>
        <w:tc>
          <w:tcPr>
            <w:tcW w:type="pct" w:w="650"/>
            <w:tcMar>
              <w:top w:type="dxa" w:w="60"/>
              <w:left w:type="dxa" w:w="80"/>
              <w:bottom w:type="dxa" w:w="60"/>
              <w:right w:type="dxa" w:w="80"/>
            </w:tcMar>
          </w:tcPr>
          <w:p>
            <w:r>
              <w:t xml:space="preserve">[ ]</w:t>
            </w:r>
          </w:p>
        </w:tc>
      </w:tr>
      <w:tr>
        <w:tc>
          <w:tcPr>
            <w:tcW w:type="pct" w:w="1350"/>
            <w:tcMar>
              <w:top w:type="dxa" w:w="60"/>
              <w:left w:type="dxa" w:w="80"/>
              <w:bottom w:type="dxa" w:w="60"/>
              <w:right w:type="dxa" w:w="80"/>
            </w:tcMar>
          </w:tcPr>
          <w:p>
            <w:r>
              <w:t xml:space="preserve">Résultats en baisse</w:t>
            </w:r>
          </w:p>
        </w:tc>
        <w:tc>
          <w:tcPr>
            <w:tcW w:type="pct" w:w="1000"/>
            <w:tcMar>
              <w:top w:type="dxa" w:w="60"/>
              <w:left w:type="dxa" w:w="80"/>
              <w:bottom w:type="dxa" w:w="60"/>
              <w:right w:type="dxa" w:w="80"/>
            </w:tcMar>
          </w:tcPr>
          <w:p>
            <w:r>
              <w:rPr>
                <w:highlight w:val="yellow"/>
              </w:rPr>
              <w:t xml:space="preserve">[2 évaluations sous le seuil]</w:t>
            </w:r>
          </w:p>
        </w:tc>
        <w:tc>
          <w:tcPr>
            <w:tcW w:type="pct" w:w="1350"/>
            <w:tcMar>
              <w:top w:type="dxa" w:w="60"/>
              <w:left w:type="dxa" w:w="80"/>
              <w:bottom w:type="dxa" w:w="60"/>
              <w:right w:type="dxa" w:w="80"/>
            </w:tcMar>
          </w:tcPr>
          <w:p>
            <w:r>
              <w:t xml:space="preserve">Entretien individuel, plan de soutien</w:t>
            </w:r>
          </w:p>
        </w:tc>
        <w:tc>
          <w:tcPr>
            <w:tcW w:type="pct" w:w="700"/>
            <w:tcMar>
              <w:top w:type="dxa" w:w="60"/>
              <w:left w:type="dxa" w:w="80"/>
              <w:bottom w:type="dxa" w:w="60"/>
              <w:right w:type="dxa" w:w="80"/>
            </w:tcMar>
          </w:tcPr>
          <w:p>
            <w:r>
              <w:rPr>
                <w:highlight w:val="yellow"/>
              </w:rPr>
              <w:t xml:space="preserve">[1 semaine]</w:t>
            </w:r>
          </w:p>
        </w:tc>
        <w:tc>
          <w:tcPr>
            <w:tcW w:type="pct" w:w="650"/>
            <w:tcMar>
              <w:top w:type="dxa" w:w="60"/>
              <w:left w:type="dxa" w:w="80"/>
              <w:bottom w:type="dxa" w:w="60"/>
              <w:right w:type="dxa" w:w="80"/>
            </w:tcMar>
          </w:tcPr>
          <w:p>
            <w:r>
              <w:t xml:space="preserve">[ ]</w:t>
            </w:r>
          </w:p>
        </w:tc>
      </w:tr>
      <w:tr>
        <w:tc>
          <w:tcPr>
            <w:tcW w:type="pct" w:w="1350"/>
            <w:tcMar>
              <w:top w:type="dxa" w:w="60"/>
              <w:left w:type="dxa" w:w="80"/>
              <w:bottom w:type="dxa" w:w="60"/>
              <w:right w:type="dxa" w:w="80"/>
            </w:tcMar>
          </w:tcPr>
          <w:p>
            <w:r>
              <w:t xml:space="preserve">Difficulté personnelle signalée (transport, santé, logement, financement)</w:t>
            </w:r>
          </w:p>
        </w:tc>
        <w:tc>
          <w:tcPr>
            <w:tcW w:type="pct" w:w="1000"/>
            <w:tcMar>
              <w:top w:type="dxa" w:w="60"/>
              <w:left w:type="dxa" w:w="80"/>
              <w:bottom w:type="dxa" w:w="60"/>
              <w:right w:type="dxa" w:w="80"/>
            </w:tcMar>
          </w:tcPr>
          <w:p>
            <w:r>
              <w:t xml:space="preserve">dès le signalement</w:t>
            </w:r>
          </w:p>
        </w:tc>
        <w:tc>
          <w:tcPr>
            <w:tcW w:type="pct" w:w="1350"/>
            <w:tcMar>
              <w:top w:type="dxa" w:w="60"/>
              <w:left w:type="dxa" w:w="80"/>
              <w:bottom w:type="dxa" w:w="60"/>
              <w:right w:type="dxa" w:w="80"/>
            </w:tcMar>
          </w:tcPr>
          <w:p>
            <w:r>
              <w:t xml:space="preserve">Orientation vers les ressources adaptées</w:t>
            </w:r>
          </w:p>
        </w:tc>
        <w:tc>
          <w:tcPr>
            <w:tcW w:type="pct" w:w="700"/>
            <w:tcMar>
              <w:top w:type="dxa" w:w="60"/>
              <w:left w:type="dxa" w:w="80"/>
              <w:bottom w:type="dxa" w:w="60"/>
              <w:right w:type="dxa" w:w="80"/>
            </w:tcMar>
          </w:tcPr>
          <w:p>
            <w:r>
              <w:rPr>
                <w:highlight w:val="yellow"/>
              </w:rPr>
              <w:t xml:space="preserve">[48 h]</w:t>
            </w:r>
          </w:p>
        </w:tc>
        <w:tc>
          <w:tcPr>
            <w:tcW w:type="pct" w:w="650"/>
            <w:tcMar>
              <w:top w:type="dxa" w:w="60"/>
              <w:left w:type="dxa" w:w="80"/>
              <w:bottom w:type="dxa" w:w="60"/>
              <w:right w:type="dxa" w:w="80"/>
            </w:tcMar>
          </w:tcPr>
          <w:p>
            <w:r>
              <w:t xml:space="preserve">[ ]</w:t>
            </w:r>
          </w:p>
        </w:tc>
      </w:tr>
      <w:tr>
        <w:tc>
          <w:tcPr>
            <w:tcW w:type="pct" w:w="1350"/>
            <w:tcMar>
              <w:top w:type="dxa" w:w="60"/>
              <w:left w:type="dxa" w:w="80"/>
              <w:bottom w:type="dxa" w:w="60"/>
              <w:right w:type="dxa" w:w="80"/>
            </w:tcMar>
          </w:tcPr>
          <w:p>
            <w:r>
              <w:t xml:space="preserve">Intention d'abandon exprimée</w:t>
            </w:r>
          </w:p>
        </w:tc>
        <w:tc>
          <w:tcPr>
            <w:tcW w:type="pct" w:w="1000"/>
            <w:tcMar>
              <w:top w:type="dxa" w:w="60"/>
              <w:left w:type="dxa" w:w="80"/>
              <w:bottom w:type="dxa" w:w="60"/>
              <w:right w:type="dxa" w:w="80"/>
            </w:tcMar>
          </w:tcPr>
          <w:p>
            <w:r>
              <w:t xml:space="preserve">dès l'expression</w:t>
            </w:r>
          </w:p>
        </w:tc>
        <w:tc>
          <w:tcPr>
            <w:tcW w:type="pct" w:w="1350"/>
            <w:tcMar>
              <w:top w:type="dxa" w:w="60"/>
              <w:left w:type="dxa" w:w="80"/>
              <w:bottom w:type="dxa" w:w="60"/>
              <w:right w:type="dxa" w:w="80"/>
            </w:tcMar>
          </w:tcPr>
          <w:p>
            <w:r>
              <w:t xml:space="preserve">Entretien, solutions (report, aménagement, réorientation)</w:t>
            </w:r>
          </w:p>
        </w:tc>
        <w:tc>
          <w:tcPr>
            <w:tcW w:type="pct" w:w="700"/>
            <w:tcMar>
              <w:top w:type="dxa" w:w="60"/>
              <w:left w:type="dxa" w:w="80"/>
              <w:bottom w:type="dxa" w:w="60"/>
              <w:right w:type="dxa" w:w="80"/>
            </w:tcMar>
          </w:tcPr>
          <w:p>
            <w:r>
              <w:rPr>
                <w:highlight w:val="yellow"/>
              </w:rPr>
              <w:t xml:space="preserve">[72 h]</w:t>
            </w:r>
          </w:p>
        </w:tc>
        <w:tc>
          <w:tcPr>
            <w:tcW w:type="pct" w:w="650"/>
            <w:tcMar>
              <w:top w:type="dxa" w:w="60"/>
              <w:left w:type="dxa" w:w="80"/>
              <w:bottom w:type="dxa" w:w="60"/>
              <w:right w:type="dxa" w:w="80"/>
            </w:tcMar>
          </w:tcPr>
          <w:p>
            <w:r>
              <w:t xml:space="preserve">[ ]</w:t>
            </w:r>
          </w:p>
        </w:tc>
      </w:tr>
    </w:tbl>
    <w:p>
      <w:pPr>
        <w:spacing w:after="60"/>
      </w:pPr>
    </w:p>
    <w:p>
      <w:pPr>
        <w:pStyle w:val="Heading2"/>
        <w:spacing w:after="120" w:before="240"/>
      </w:pPr>
      <w:r>
        <w:t xml:space="preserve">4. Signalement</w:t>
      </w:r>
    </w:p>
    <w:p>
      <w:pPr>
        <w:spacing w:after="120"/>
      </w:pPr>
      <w:r>
        <w:t xml:space="preserve">Toute personne témoin ou victime peut signaler une situation :</w:t>
      </w:r>
    </w:p>
    <w:p>
      <w:pPr>
        <w:pStyle w:val="ListParagraph"/>
        <w:numPr>
          <w:ilvl w:val="0"/>
          <w:numId w:val="1"/>
        </w:numPr>
        <w:spacing w:after="60"/>
      </w:pPr>
      <w:r>
        <w:t xml:space="preserve">auprès de la personne référente ou de son suppléant : </w:t>
      </w:r>
      <w:r>
        <w:rPr>
          <w:highlight w:val="yellow"/>
        </w:rPr>
        <w:t xml:space="preserve">[coordonnées]</w:t>
      </w:r>
      <w:r>
        <w:t xml:space="preserve"> ;</w:t>
      </w:r>
    </w:p>
    <w:p>
      <w:pPr>
        <w:pStyle w:val="ListParagraph"/>
        <w:numPr>
          <w:ilvl w:val="0"/>
          <w:numId w:val="1"/>
        </w:numPr>
        <w:spacing w:after="60"/>
      </w:pPr>
      <w:r>
        <w:t xml:space="preserve">par écrit : </w:t>
      </w:r>
      <w:r>
        <w:rPr>
          <w:highlight w:val="yellow"/>
        </w:rPr>
        <w:t xml:space="preserve">[adresse électronique dédiée ou formulaire]</w:t>
      </w:r>
      <w:r>
        <w:t xml:space="preserve"> ;</w:t>
      </w:r>
    </w:p>
    <w:p>
      <w:pPr>
        <w:pStyle w:val="ListParagraph"/>
        <w:numPr>
          <w:ilvl w:val="0"/>
          <w:numId w:val="1"/>
        </w:numPr>
        <w:spacing w:after="60"/>
      </w:pPr>
      <w:r>
        <w:t xml:space="preserve">auprès de tout formateur, qui transmet </w:t>
      </w:r>
      <w:r>
        <w:rPr>
          <w:b/>
          <w:bCs/>
        </w:rPr>
        <w:t xml:space="preserve">le jour même</w:t>
      </w:r>
      <w:r>
        <w:t xml:space="preserve"> à la personne référente.</w:t>
      </w:r>
    </w:p>
    <w:p>
      <w:pPr>
        <w:spacing w:after="120"/>
      </w:pPr>
      <w:r>
        <w:t xml:space="preserve">Le signalement peut être fait oralement ou par écrit. La personne qui signale de bonne foi ne subit aucune mesure défavorable.</w:t>
      </w:r>
    </w:p>
    <w:p>
      <w:pPr>
        <w:pStyle w:val="Heading2"/>
        <w:spacing w:after="120" w:before="240"/>
      </w:pPr>
      <w:r>
        <w:t xml:space="preserve">5. Traitement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058"/>
        <w:gridCol w:w="2058"/>
        <w:gridCol w:w="4018"/>
        <w:gridCol w:w="1764"/>
      </w:tblGrid>
      <w:tr>
        <w:trPr>
          <w:tblHeader/>
        </w:trPr>
        <w:tc>
          <w:tcPr>
            <w:tcW w:type="pct" w:w="1050"/>
            <w:shd w:fill="1F4E79" w:color="auto" w:val="clear"/>
            <w:tcMar>
              <w:top w:type="dxa" w:w="60"/>
              <w:left w:type="dxa" w:w="80"/>
              <w:bottom w:type="dxa" w:w="60"/>
              <w:right w:type="dxa" w:w="80"/>
            </w:tcMar>
          </w:tcPr>
          <w:p>
            <w:r>
              <w:rPr>
                <w:b/>
                <w:bCs/>
                <w:color w:val="FFFFFF"/>
              </w:rPr>
              <w:t xml:space="preserve">Étape</w:t>
            </w:r>
          </w:p>
        </w:tc>
        <w:tc>
          <w:tcPr>
            <w:tcW w:type="pct" w:w="1050"/>
            <w:shd w:fill="1F4E79" w:color="auto" w:val="clear"/>
            <w:tcMar>
              <w:top w:type="dxa" w:w="60"/>
              <w:left w:type="dxa" w:w="80"/>
              <w:bottom w:type="dxa" w:w="60"/>
              <w:right w:type="dxa" w:w="80"/>
            </w:tcMar>
          </w:tcPr>
          <w:p>
            <w:r>
              <w:rPr>
                <w:b/>
                <w:bCs/>
                <w:color w:val="FFFFFF"/>
              </w:rPr>
              <w:t xml:space="preserve">Délai maximum</w:t>
            </w:r>
          </w:p>
        </w:tc>
        <w:tc>
          <w:tcPr>
            <w:tcW w:type="pct" w:w="2050"/>
            <w:shd w:fill="1F4E79" w:color="auto" w:val="clear"/>
            <w:tcMar>
              <w:top w:type="dxa" w:w="60"/>
              <w:left w:type="dxa" w:w="80"/>
              <w:bottom w:type="dxa" w:w="60"/>
              <w:right w:type="dxa" w:w="80"/>
            </w:tcMar>
          </w:tcPr>
          <w:p>
            <w:r>
              <w:rPr>
                <w:b/>
                <w:bCs/>
                <w:color w:val="FFFFFF"/>
              </w:rPr>
              <w:t xml:space="preserve">Action</w:t>
            </w:r>
          </w:p>
        </w:tc>
        <w:tc>
          <w:tcPr>
            <w:tcW w:type="pct" w:w="900"/>
            <w:shd w:fill="1F4E79" w:color="auto" w:val="clear"/>
            <w:tcMar>
              <w:top w:type="dxa" w:w="60"/>
              <w:left w:type="dxa" w:w="80"/>
              <w:bottom w:type="dxa" w:w="60"/>
              <w:right w:type="dxa" w:w="80"/>
            </w:tcMar>
          </w:tcPr>
          <w:p>
            <w:r>
              <w:rPr>
                <w:b/>
                <w:bCs/>
                <w:color w:val="FFFFFF"/>
              </w:rPr>
              <w:t xml:space="preserve">Trace</w:t>
            </w:r>
          </w:p>
        </w:tc>
      </w:tr>
      <w:tr>
        <w:tc>
          <w:tcPr>
            <w:tcW w:type="pct" w:w="1050"/>
            <w:tcMar>
              <w:top w:type="dxa" w:w="60"/>
              <w:left w:type="dxa" w:w="80"/>
              <w:bottom w:type="dxa" w:w="60"/>
              <w:right w:type="dxa" w:w="80"/>
            </w:tcMar>
          </w:tcPr>
          <w:p>
            <w:r>
              <w:t xml:space="preserve">1. Accusé de réception</w:t>
            </w:r>
          </w:p>
        </w:tc>
        <w:tc>
          <w:tcPr>
            <w:tcW w:type="pct" w:w="1050"/>
            <w:tcMar>
              <w:top w:type="dxa" w:w="60"/>
              <w:left w:type="dxa" w:w="80"/>
              <w:bottom w:type="dxa" w:w="60"/>
              <w:right w:type="dxa" w:w="80"/>
            </w:tcMar>
          </w:tcPr>
          <w:p>
            <w:r>
              <w:rPr>
                <w:highlight w:val="yellow"/>
              </w:rPr>
              <w:t xml:space="preserve">[24 h ouvrées]</w:t>
            </w:r>
            <w:r>
              <w:t xml:space="preserve"> ; </w:t>
            </w:r>
            <w:r>
              <w:rPr>
                <w:b/>
                <w:bCs/>
              </w:rPr>
              <w:t xml:space="preserve">sans délai</w:t>
            </w:r>
            <w:r>
              <w:t xml:space="preserve"> si danger</w:t>
            </w:r>
          </w:p>
        </w:tc>
        <w:tc>
          <w:tcPr>
            <w:tcW w:type="pct" w:w="2050"/>
            <w:tcMar>
              <w:top w:type="dxa" w:w="60"/>
              <w:left w:type="dxa" w:w="80"/>
              <w:bottom w:type="dxa" w:w="60"/>
              <w:right w:type="dxa" w:w="80"/>
            </w:tcMar>
          </w:tcPr>
          <w:p>
            <w:r>
              <w:t xml:space="preserve">Accuser réception, rappeler la confidentialité</w:t>
            </w:r>
          </w:p>
        </w:tc>
        <w:tc>
          <w:tcPr>
            <w:tcW w:type="pct" w:w="900"/>
            <w:tcMar>
              <w:top w:type="dxa" w:w="60"/>
              <w:left w:type="dxa" w:w="80"/>
              <w:bottom w:type="dxa" w:w="60"/>
              <w:right w:type="dxa" w:w="80"/>
            </w:tcMar>
          </w:tcPr>
          <w:p>
            <w:r>
              <w:t xml:space="preserve">Registre</w:t>
            </w:r>
          </w:p>
        </w:tc>
      </w:tr>
      <w:tr>
        <w:tc>
          <w:tcPr>
            <w:tcW w:type="pct" w:w="1050"/>
            <w:tcMar>
              <w:top w:type="dxa" w:w="60"/>
              <w:left w:type="dxa" w:w="80"/>
              <w:bottom w:type="dxa" w:w="60"/>
              <w:right w:type="dxa" w:w="80"/>
            </w:tcMar>
          </w:tcPr>
          <w:p>
            <w:r>
              <w:t xml:space="preserve">2. Mise en sécurité</w:t>
            </w:r>
          </w:p>
        </w:tc>
        <w:tc>
          <w:tcPr>
            <w:tcW w:type="pct" w:w="1050"/>
            <w:tcMar>
              <w:top w:type="dxa" w:w="60"/>
              <w:left w:type="dxa" w:w="80"/>
              <w:bottom w:type="dxa" w:w="60"/>
              <w:right w:type="dxa" w:w="80"/>
            </w:tcMar>
          </w:tcPr>
          <w:p>
            <w:r>
              <w:t xml:space="preserve">Immédiat</w:t>
            </w:r>
          </w:p>
        </w:tc>
        <w:tc>
          <w:tcPr>
            <w:tcW w:type="pct" w:w="2050"/>
            <w:tcMar>
              <w:top w:type="dxa" w:w="60"/>
              <w:left w:type="dxa" w:w="80"/>
              <w:bottom w:type="dxa" w:w="60"/>
              <w:right w:type="dxa" w:w="80"/>
            </w:tcMar>
          </w:tcPr>
          <w:p>
            <w:r>
              <w:t xml:space="preserve">Mesures conservatoires : séparation des personnes, changement de groupe, suspension d'un intervenant, accompagnement de la victime</w:t>
            </w:r>
          </w:p>
        </w:tc>
        <w:tc>
          <w:tcPr>
            <w:tcW w:type="pct" w:w="900"/>
            <w:tcMar>
              <w:top w:type="dxa" w:w="60"/>
              <w:left w:type="dxa" w:w="80"/>
              <w:bottom w:type="dxa" w:w="60"/>
              <w:right w:type="dxa" w:w="80"/>
            </w:tcMar>
          </w:tcPr>
          <w:p>
            <w:r>
              <w:t xml:space="preserve">Registre</w:t>
            </w:r>
          </w:p>
        </w:tc>
      </w:tr>
      <w:tr>
        <w:tc>
          <w:tcPr>
            <w:tcW w:type="pct" w:w="1050"/>
            <w:tcMar>
              <w:top w:type="dxa" w:w="60"/>
              <w:left w:type="dxa" w:w="80"/>
              <w:bottom w:type="dxa" w:w="60"/>
              <w:right w:type="dxa" w:w="80"/>
            </w:tcMar>
          </w:tcPr>
          <w:p>
            <w:r>
              <w:t xml:space="preserve">3. Écoute et recueil des faits</w:t>
            </w:r>
          </w:p>
        </w:tc>
        <w:tc>
          <w:tcPr>
            <w:tcW w:type="pct" w:w="1050"/>
            <w:tcMar>
              <w:top w:type="dxa" w:w="60"/>
              <w:left w:type="dxa" w:w="80"/>
              <w:bottom w:type="dxa" w:w="60"/>
              <w:right w:type="dxa" w:w="80"/>
            </w:tcMar>
          </w:tcPr>
          <w:p>
            <w:r>
              <w:rPr>
                <w:highlight w:val="yellow"/>
              </w:rPr>
              <w:t xml:space="preserve">[5 jours ouvrés]</w:t>
            </w:r>
          </w:p>
        </w:tc>
        <w:tc>
          <w:tcPr>
            <w:tcW w:type="pct" w:w="2050"/>
            <w:tcMar>
              <w:top w:type="dxa" w:w="60"/>
              <w:left w:type="dxa" w:w="80"/>
              <w:bottom w:type="dxa" w:w="60"/>
              <w:right w:type="dxa" w:w="80"/>
            </w:tcMar>
          </w:tcPr>
          <w:p>
            <w:r>
              <w:t xml:space="preserve">Entretien avec la victime, le témoin, puis la personne mise en cause, chacun séparément</w:t>
            </w:r>
          </w:p>
        </w:tc>
        <w:tc>
          <w:tcPr>
            <w:tcW w:type="pct" w:w="900"/>
            <w:tcMar>
              <w:top w:type="dxa" w:w="60"/>
              <w:left w:type="dxa" w:w="80"/>
              <w:bottom w:type="dxa" w:w="60"/>
              <w:right w:type="dxa" w:w="80"/>
            </w:tcMar>
          </w:tcPr>
          <w:p>
            <w:r>
              <w:t xml:space="preserve">Compte rendu confidentiel</w:t>
            </w:r>
          </w:p>
        </w:tc>
      </w:tr>
      <w:tr>
        <w:tc>
          <w:tcPr>
            <w:tcW w:type="pct" w:w="1050"/>
            <w:tcMar>
              <w:top w:type="dxa" w:w="60"/>
              <w:left w:type="dxa" w:w="80"/>
              <w:bottom w:type="dxa" w:w="60"/>
              <w:right w:type="dxa" w:w="80"/>
            </w:tcMar>
          </w:tcPr>
          <w:p>
            <w:r>
              <w:t xml:space="preserve">4. Décision</w:t>
            </w:r>
          </w:p>
        </w:tc>
        <w:tc>
          <w:tcPr>
            <w:tcW w:type="pct" w:w="1050"/>
            <w:tcMar>
              <w:top w:type="dxa" w:w="60"/>
              <w:left w:type="dxa" w:w="80"/>
              <w:bottom w:type="dxa" w:w="60"/>
              <w:right w:type="dxa" w:w="80"/>
            </w:tcMar>
          </w:tcPr>
          <w:p>
            <w:r>
              <w:rPr>
                <w:highlight w:val="yellow"/>
              </w:rPr>
              <w:t xml:space="preserve">[10 jours ouvrés]</w:t>
            </w:r>
          </w:p>
        </w:tc>
        <w:tc>
          <w:tcPr>
            <w:tcW w:type="pct" w:w="2050"/>
            <w:tcMar>
              <w:top w:type="dxa" w:w="60"/>
              <w:left w:type="dxa" w:w="80"/>
              <w:bottom w:type="dxa" w:w="60"/>
              <w:right w:type="dxa" w:w="80"/>
            </w:tcMar>
          </w:tcPr>
          <w:p>
            <w:r>
              <w:t xml:space="preserve">Mesures adaptées : rappel à l'ordre, sanction prévue au règlement intérieur, fin de contrat d'un intervenant, information de l'employeur (alternance)</w:t>
            </w:r>
          </w:p>
        </w:tc>
        <w:tc>
          <w:tcPr>
            <w:tcW w:type="pct" w:w="900"/>
            <w:tcMar>
              <w:top w:type="dxa" w:w="60"/>
              <w:left w:type="dxa" w:w="80"/>
              <w:bottom w:type="dxa" w:w="60"/>
              <w:right w:type="dxa" w:w="80"/>
            </w:tcMar>
          </w:tcPr>
          <w:p>
            <w:r>
              <w:t xml:space="preserve">Décision écrite</w:t>
            </w:r>
          </w:p>
        </w:tc>
      </w:tr>
      <w:tr>
        <w:tc>
          <w:tcPr>
            <w:tcW w:type="pct" w:w="1050"/>
            <w:tcMar>
              <w:top w:type="dxa" w:w="60"/>
              <w:left w:type="dxa" w:w="80"/>
              <w:bottom w:type="dxa" w:w="60"/>
              <w:right w:type="dxa" w:w="80"/>
            </w:tcMar>
          </w:tcPr>
          <w:p>
            <w:r>
              <w:t xml:space="preserve">5. Orientation</w:t>
            </w:r>
          </w:p>
        </w:tc>
        <w:tc>
          <w:tcPr>
            <w:tcW w:type="pct" w:w="1050"/>
            <w:tcMar>
              <w:top w:type="dxa" w:w="60"/>
              <w:left w:type="dxa" w:w="80"/>
              <w:bottom w:type="dxa" w:w="60"/>
              <w:right w:type="dxa" w:w="80"/>
            </w:tcMar>
          </w:tcPr>
          <w:p>
            <w:r>
              <w:t xml:space="preserve">dès que nécessaire</w:t>
            </w:r>
          </w:p>
        </w:tc>
        <w:tc>
          <w:tcPr>
            <w:tcW w:type="pct" w:w="2050"/>
            <w:tcMar>
              <w:top w:type="dxa" w:w="60"/>
              <w:left w:type="dxa" w:w="80"/>
              <w:bottom w:type="dxa" w:w="60"/>
              <w:right w:type="dxa" w:w="80"/>
            </w:tcMar>
          </w:tcPr>
          <w:p>
            <w:r>
              <w:t xml:space="preserve">Information sur les recours externes (§ 6), y compris le dépôt de plainte</w:t>
            </w:r>
          </w:p>
        </w:tc>
        <w:tc>
          <w:tcPr>
            <w:tcW w:type="pct" w:w="900"/>
            <w:tcMar>
              <w:top w:type="dxa" w:w="60"/>
              <w:left w:type="dxa" w:w="80"/>
              <w:bottom w:type="dxa" w:w="60"/>
              <w:right w:type="dxa" w:w="80"/>
            </w:tcMar>
          </w:tcPr>
          <w:p>
            <w:r>
              <w:t xml:space="preserve">Registre</w:t>
            </w:r>
          </w:p>
        </w:tc>
      </w:tr>
      <w:tr>
        <w:tc>
          <w:tcPr>
            <w:tcW w:type="pct" w:w="1050"/>
            <w:tcMar>
              <w:top w:type="dxa" w:w="60"/>
              <w:left w:type="dxa" w:w="80"/>
              <w:bottom w:type="dxa" w:w="60"/>
              <w:right w:type="dxa" w:w="80"/>
            </w:tcMar>
          </w:tcPr>
          <w:p>
            <w:r>
              <w:t xml:space="preserve">6. Suivi</w:t>
            </w:r>
          </w:p>
        </w:tc>
        <w:tc>
          <w:tcPr>
            <w:tcW w:type="pct" w:w="1050"/>
            <w:tcMar>
              <w:top w:type="dxa" w:w="60"/>
              <w:left w:type="dxa" w:w="80"/>
              <w:bottom w:type="dxa" w:w="60"/>
              <w:right w:type="dxa" w:w="80"/>
            </w:tcMar>
          </w:tcPr>
          <w:p>
            <w:r>
              <w:rPr>
                <w:highlight w:val="yellow"/>
              </w:rPr>
              <w:t xml:space="preserve">[1 mois]</w:t>
            </w:r>
          </w:p>
        </w:tc>
        <w:tc>
          <w:tcPr>
            <w:tcW w:type="pct" w:w="2050"/>
            <w:tcMar>
              <w:top w:type="dxa" w:w="60"/>
              <w:left w:type="dxa" w:w="80"/>
              <w:bottom w:type="dxa" w:w="60"/>
              <w:right w:type="dxa" w:w="80"/>
            </w:tcMar>
          </w:tcPr>
          <w:p>
            <w:r>
              <w:t xml:space="preserve">Point avec la victime, vérification de l'absence de représailles</w:t>
            </w:r>
          </w:p>
        </w:tc>
        <w:tc>
          <w:tcPr>
            <w:tcW w:type="pct" w:w="900"/>
            <w:tcMar>
              <w:top w:type="dxa" w:w="60"/>
              <w:left w:type="dxa" w:w="80"/>
              <w:bottom w:type="dxa" w:w="60"/>
              <w:right w:type="dxa" w:w="80"/>
            </w:tcMar>
          </w:tcPr>
          <w:p>
            <w:r>
              <w:t xml:space="preserve">Registre</w:t>
            </w:r>
          </w:p>
        </w:tc>
      </w:tr>
      <w:tr>
        <w:tc>
          <w:tcPr>
            <w:tcW w:type="pct" w:w="1050"/>
            <w:tcMar>
              <w:top w:type="dxa" w:w="60"/>
              <w:left w:type="dxa" w:w="80"/>
              <w:bottom w:type="dxa" w:w="60"/>
              <w:right w:type="dxa" w:w="80"/>
            </w:tcMar>
          </w:tcPr>
          <w:p>
            <w:r>
              <w:t xml:space="preserve">7. Retour d'expérience</w:t>
            </w:r>
          </w:p>
        </w:tc>
        <w:tc>
          <w:tcPr>
            <w:tcW w:type="pct" w:w="1050"/>
            <w:tcMar>
              <w:top w:type="dxa" w:w="60"/>
              <w:left w:type="dxa" w:w="80"/>
              <w:bottom w:type="dxa" w:w="60"/>
              <w:right w:type="dxa" w:w="80"/>
            </w:tcMar>
          </w:tcPr>
          <w:p>
            <w:r>
              <w:t xml:space="preserve">à la clôture</w:t>
            </w:r>
          </w:p>
        </w:tc>
        <w:tc>
          <w:tcPr>
            <w:tcW w:type="pct" w:w="2050"/>
            <w:tcMar>
              <w:top w:type="dxa" w:w="60"/>
              <w:left w:type="dxa" w:w="80"/>
              <w:bottom w:type="dxa" w:w="60"/>
              <w:right w:type="dxa" w:w="80"/>
            </w:tcMar>
          </w:tcPr>
          <w:p>
            <w:r>
              <w:t xml:space="preserve">Analyse anonymisée, action d'amélioration (T16)</w:t>
            </w:r>
          </w:p>
        </w:tc>
        <w:tc>
          <w:tcPr>
            <w:tcW w:type="pct" w:w="900"/>
            <w:tcMar>
              <w:top w:type="dxa" w:w="60"/>
              <w:left w:type="dxa" w:w="80"/>
              <w:bottom w:type="dxa" w:w="60"/>
              <w:right w:type="dxa" w:w="80"/>
            </w:tcMar>
          </w:tcPr>
          <w:p>
            <w:r>
              <w:t xml:space="preserve">Plan d'amélioration</w:t>
            </w:r>
          </w:p>
        </w:tc>
      </w:tr>
    </w:tbl>
    <w:p>
      <w:pPr>
        <w:spacing w:after="60"/>
      </w:pPr>
    </w:p>
    <w:p>
      <w:pPr>
        <w:spacing w:after="120"/>
      </w:pPr>
      <w:r>
        <w:rPr>
          <w:b/>
          <w:bCs/>
        </w:rPr>
        <w:t xml:space="preserve">Alternance (CFA, indicateur 14) :</w:t>
      </w:r>
      <w:r>
        <w:t xml:space="preserve"> si la situation survient dans l'entreprise d'accueil, le CFA contacte l'apprenti </w:t>
      </w:r>
      <w:r>
        <w:rPr>
          <w:b/>
          <w:bCs/>
        </w:rPr>
        <w:t xml:space="preserve">le jour même</w:t>
      </w:r>
      <w:r>
        <w:t xml:space="preserve">, informe le maître d'apprentissage ou l'employeur sauf si cela met l'apprenti en danger, et, selon la gravité, oriente vers le médiateur de l'apprentissage et signale à l'inspection du travail. Pour un apprenti mineur, les représentants légaux sont informés, sauf si leur information est contraire à son intérêt.</w:t>
      </w:r>
    </w:p>
    <w:p>
      <w:pPr>
        <w:pStyle w:val="Heading2"/>
        <w:spacing w:after="120" w:before="240"/>
      </w:pPr>
      <w:r>
        <w:t xml:space="preserve">6. Recours externes à communiquer aux bénéficiaires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116"/>
        <w:gridCol w:w="5684"/>
      </w:tblGrid>
      <w:tr>
        <w:trPr>
          <w:tblHeader/>
        </w:trPr>
        <w:tc>
          <w:tcPr>
            <w:tcW w:type="pct" w:w="2100"/>
            <w:shd w:fill="1F4E79" w:color="auto" w:val="clear"/>
            <w:tcMar>
              <w:top w:type="dxa" w:w="60"/>
              <w:left w:type="dxa" w:w="80"/>
              <w:bottom w:type="dxa" w:w="60"/>
              <w:right w:type="dxa" w:w="80"/>
            </w:tcMar>
          </w:tcPr>
          <w:p>
            <w:r>
              <w:rPr>
                <w:b/>
                <w:bCs/>
                <w:color w:val="FFFFFF"/>
              </w:rPr>
              <w:t xml:space="preserve">Situation</w:t>
            </w:r>
          </w:p>
        </w:tc>
        <w:tc>
          <w:tcPr>
            <w:tcW w:type="pct" w:w="2900"/>
            <w:shd w:fill="1F4E79" w:color="auto" w:val="clear"/>
            <w:tcMar>
              <w:top w:type="dxa" w:w="60"/>
              <w:left w:type="dxa" w:w="80"/>
              <w:bottom w:type="dxa" w:w="60"/>
              <w:right w:type="dxa" w:w="80"/>
            </w:tcMar>
          </w:tcPr>
          <w:p>
            <w:r>
              <w:rPr>
                <w:b/>
                <w:bCs/>
                <w:color w:val="FFFFFF"/>
              </w:rPr>
              <w:t xml:space="preserve">Contact</w:t>
            </w:r>
          </w:p>
        </w:tc>
      </w:tr>
      <w:tr>
        <w:tc>
          <w:tcPr>
            <w:tcW w:type="pct" w:w="2100"/>
            <w:tcMar>
              <w:top w:type="dxa" w:w="60"/>
              <w:left w:type="dxa" w:w="80"/>
              <w:bottom w:type="dxa" w:w="60"/>
              <w:right w:type="dxa" w:w="80"/>
            </w:tcMar>
          </w:tcPr>
          <w:p>
            <w:r>
              <w:t xml:space="preserve">Urgence, danger immédiat</w:t>
            </w:r>
          </w:p>
        </w:tc>
        <w:tc>
          <w:tcPr>
            <w:tcW w:type="pct" w:w="2900"/>
            <w:tcMar>
              <w:top w:type="dxa" w:w="60"/>
              <w:left w:type="dxa" w:w="80"/>
              <w:bottom w:type="dxa" w:w="60"/>
              <w:right w:type="dxa" w:w="80"/>
            </w:tcMar>
          </w:tcPr>
          <w:p>
            <w:r>
              <w:t xml:space="preserve">17 (police / gendarmerie), 112 (urgence européenne), 114 par SMS</w:t>
            </w:r>
          </w:p>
        </w:tc>
      </w:tr>
      <w:tr>
        <w:tc>
          <w:tcPr>
            <w:tcW w:type="pct" w:w="2100"/>
            <w:tcMar>
              <w:top w:type="dxa" w:w="60"/>
              <w:left w:type="dxa" w:w="80"/>
              <w:bottom w:type="dxa" w:w="60"/>
              <w:right w:type="dxa" w:w="80"/>
            </w:tcMar>
          </w:tcPr>
          <w:p>
            <w:r>
              <w:t xml:space="preserve">Violences faites aux femmes</w:t>
            </w:r>
          </w:p>
        </w:tc>
        <w:tc>
          <w:tcPr>
            <w:tcW w:type="pct" w:w="2900"/>
            <w:tcMar>
              <w:top w:type="dxa" w:w="60"/>
              <w:left w:type="dxa" w:w="80"/>
              <w:bottom w:type="dxa" w:w="60"/>
              <w:right w:type="dxa" w:w="80"/>
            </w:tcMar>
          </w:tcPr>
          <w:p>
            <w:r>
              <w:t xml:space="preserve">3919 (écoute, anonyme et gratuit)</w:t>
            </w:r>
          </w:p>
        </w:tc>
      </w:tr>
      <w:tr>
        <w:tc>
          <w:tcPr>
            <w:tcW w:type="pct" w:w="2100"/>
            <w:tcMar>
              <w:top w:type="dxa" w:w="60"/>
              <w:left w:type="dxa" w:w="80"/>
              <w:bottom w:type="dxa" w:w="60"/>
              <w:right w:type="dxa" w:w="80"/>
            </w:tcMar>
          </w:tcPr>
          <w:p>
            <w:r>
              <w:t xml:space="preserve">Enfant ou mineur en danger</w:t>
            </w:r>
          </w:p>
        </w:tc>
        <w:tc>
          <w:tcPr>
            <w:tcW w:type="pct" w:w="2900"/>
            <w:tcMar>
              <w:top w:type="dxa" w:w="60"/>
              <w:left w:type="dxa" w:w="80"/>
              <w:bottom w:type="dxa" w:w="60"/>
              <w:right w:type="dxa" w:w="80"/>
            </w:tcMar>
          </w:tcPr>
          <w:p>
            <w:r>
              <w:t xml:space="preserve">119</w:t>
            </w:r>
          </w:p>
        </w:tc>
      </w:tr>
      <w:tr>
        <w:tc>
          <w:tcPr>
            <w:tcW w:type="pct" w:w="2100"/>
            <w:tcMar>
              <w:top w:type="dxa" w:w="60"/>
              <w:left w:type="dxa" w:w="80"/>
              <w:bottom w:type="dxa" w:w="60"/>
              <w:right w:type="dxa" w:w="80"/>
            </w:tcMar>
          </w:tcPr>
          <w:p>
            <w:r>
              <w:t xml:space="preserve">Discriminations</w:t>
            </w:r>
          </w:p>
        </w:tc>
        <w:tc>
          <w:tcPr>
            <w:tcW w:type="pct" w:w="2900"/>
            <w:tcMar>
              <w:top w:type="dxa" w:w="60"/>
              <w:left w:type="dxa" w:w="80"/>
              <w:bottom w:type="dxa" w:w="60"/>
              <w:right w:type="dxa" w:w="80"/>
            </w:tcMar>
          </w:tcPr>
          <w:p>
            <w:r>
              <w:t xml:space="preserve">Défenseur des droits : 3928 ou antidiscriminations.fr</w:t>
            </w:r>
          </w:p>
        </w:tc>
      </w:tr>
      <w:tr>
        <w:tc>
          <w:tcPr>
            <w:tcW w:type="pct" w:w="2100"/>
            <w:tcMar>
              <w:top w:type="dxa" w:w="60"/>
              <w:left w:type="dxa" w:w="80"/>
              <w:bottom w:type="dxa" w:w="60"/>
              <w:right w:type="dxa" w:w="80"/>
            </w:tcMar>
          </w:tcPr>
          <w:p>
            <w:r>
              <w:t xml:space="preserve">Apprentis</w:t>
            </w:r>
          </w:p>
        </w:tc>
        <w:tc>
          <w:tcPr>
            <w:tcW w:type="pct" w:w="2900"/>
            <w:tcMar>
              <w:top w:type="dxa" w:w="60"/>
              <w:left w:type="dxa" w:w="80"/>
              <w:bottom w:type="dxa" w:w="60"/>
              <w:right w:type="dxa" w:w="80"/>
            </w:tcMar>
          </w:tcPr>
          <w:p>
            <w:r>
              <w:t xml:space="preserve">Médiateur de l'apprentissage de la chambre consulaire compétente : </w:t>
            </w:r>
            <w:r>
              <w:rPr>
                <w:highlight w:val="yellow"/>
              </w:rPr>
              <w:t xml:space="preserve">[coordonnées]</w:t>
            </w:r>
          </w:p>
        </w:tc>
      </w:tr>
    </w:tbl>
    <w:p>
      <w:pPr>
        <w:spacing w:after="60"/>
      </w:pPr>
    </w:p>
    <w:p>
      <w:pPr>
        <w:spacing w:after="120"/>
      </w:pPr>
      <w:r>
        <w:rPr>
          <w:i/>
          <w:iCs/>
        </w:rPr>
        <w:t xml:space="preserve">Vérifiez ces numéros à chaque mise à jour de la procédure.</w:t>
      </w:r>
    </w:p>
    <w:p>
      <w:pPr>
        <w:pStyle w:val="Heading2"/>
        <w:spacing w:after="120" w:before="240"/>
      </w:pPr>
      <w:r>
        <w:t xml:space="preserve">7. Confidentialité et données personnelles</w:t>
      </w:r>
    </w:p>
    <w:p>
      <w:pPr>
        <w:pStyle w:val="ListParagraph"/>
        <w:numPr>
          <w:ilvl w:val="0"/>
          <w:numId w:val="1"/>
        </w:numPr>
        <w:spacing w:after="60"/>
      </w:pPr>
      <w:r>
        <w:t xml:space="preserve">Le registre est tenu par la personne référente, accessible aux seules personnes qui en ont besoin.</w:t>
      </w:r>
    </w:p>
    <w:p>
      <w:pPr>
        <w:pStyle w:val="ListParagraph"/>
        <w:numPr>
          <w:ilvl w:val="0"/>
          <w:numId w:val="1"/>
        </w:numPr>
        <w:spacing w:after="60"/>
      </w:pPr>
      <w:r>
        <w:t xml:space="preserve">Seules les informations nécessaires sont consignées (pas de diagnostic médical, pas d'opinion).</w:t>
      </w:r>
    </w:p>
    <w:p>
      <w:pPr>
        <w:pStyle w:val="ListParagraph"/>
        <w:numPr>
          <w:ilvl w:val="0"/>
          <w:numId w:val="1"/>
        </w:numPr>
        <w:spacing w:after="60"/>
      </w:pPr>
      <w:r>
        <w:t xml:space="preserve">Durée de conservation : </w:t>
      </w:r>
      <w:r>
        <w:rPr>
          <w:highlight w:val="yellow"/>
        </w:rPr>
        <w:t xml:space="preserve">[À compléter, à définir avec votre conseil ou au regard des recommandations de la CNIL]</w:t>
      </w:r>
      <w:r>
        <w:t xml:space="preserve">.</w:t>
      </w:r>
    </w:p>
    <w:p>
      <w:pPr>
        <w:pStyle w:val="Heading2"/>
        <w:spacing w:after="120" w:before="240"/>
      </w:pPr>
      <w:r>
        <w:t xml:space="preserve">8. Registre des signalements (confidentiel)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84"/>
        <w:gridCol w:w="1274"/>
        <w:gridCol w:w="882"/>
        <w:gridCol w:w="2058"/>
        <w:gridCol w:w="1372"/>
        <w:gridCol w:w="1274"/>
        <w:gridCol w:w="1176"/>
        <w:gridCol w:w="980"/>
      </w:tblGrid>
      <w:tr>
        <w:trPr>
          <w:tblHeader/>
        </w:trPr>
        <w:tc>
          <w:tcPr>
            <w:tcW w:type="pct" w:w="400"/>
            <w:shd w:fill="1F4E79" w:color="auto" w:val="clear"/>
            <w:tcMar>
              <w:top w:type="dxa" w:w="60"/>
              <w:left w:type="dxa" w:w="80"/>
              <w:bottom w:type="dxa" w:w="60"/>
              <w:right w:type="dxa" w:w="80"/>
            </w:tcMar>
          </w:tcPr>
          <w:p>
            <w:r>
              <w:rPr>
                <w:b/>
                <w:bCs/>
                <w:color w:val="FFFFFF"/>
              </w:rPr>
              <w:t xml:space="preserve">N°</w:t>
            </w:r>
          </w:p>
        </w:tc>
        <w:tc>
          <w:tcPr>
            <w:tcW w:type="pct" w:w="650"/>
            <w:shd w:fill="1F4E79" w:color="auto" w:val="clear"/>
            <w:tcMar>
              <w:top w:type="dxa" w:w="60"/>
              <w:left w:type="dxa" w:w="80"/>
              <w:bottom w:type="dxa" w:w="60"/>
              <w:right w:type="dxa" w:w="80"/>
            </w:tcMar>
          </w:tcPr>
          <w:p>
            <w:r>
              <w:rPr>
                <w:b/>
                <w:bCs/>
                <w:color w:val="FFFFFF"/>
              </w:rPr>
              <w:t xml:space="preserve">Date de réception</w:t>
            </w:r>
          </w:p>
        </w:tc>
        <w:tc>
          <w:tcPr>
            <w:tcW w:type="pct" w:w="450"/>
            <w:shd w:fill="1F4E79" w:color="auto" w:val="clear"/>
            <w:tcMar>
              <w:top w:type="dxa" w:w="60"/>
              <w:left w:type="dxa" w:w="80"/>
              <w:bottom w:type="dxa" w:w="60"/>
              <w:right w:type="dxa" w:w="80"/>
            </w:tcMar>
          </w:tcPr>
          <w:p>
            <w:r>
              <w:rPr>
                <w:b/>
                <w:bCs/>
                <w:color w:val="FFFFFF"/>
              </w:rPr>
              <w:t xml:space="preserve">Canal</w:t>
            </w:r>
          </w:p>
        </w:tc>
        <w:tc>
          <w:tcPr>
            <w:tcW w:type="pct" w:w="1050"/>
            <w:shd w:fill="1F4E79" w:color="auto" w:val="clear"/>
            <w:tcMar>
              <w:top w:type="dxa" w:w="60"/>
              <w:left w:type="dxa" w:w="80"/>
              <w:bottom w:type="dxa" w:w="60"/>
              <w:right w:type="dxa" w:w="80"/>
            </w:tcMar>
          </w:tcPr>
          <w:p>
            <w:r>
              <w:rPr>
                <w:b/>
                <w:bCs/>
                <w:color w:val="FFFFFF"/>
              </w:rPr>
              <w:t xml:space="preserve">Nature (violence, harcèlement, discrimination, difficulté)</w:t>
            </w:r>
          </w:p>
        </w:tc>
        <w:tc>
          <w:tcPr>
            <w:tcW w:type="pct" w:w="700"/>
            <w:shd w:fill="1F4E79" w:color="auto" w:val="clear"/>
            <w:tcMar>
              <w:top w:type="dxa" w:w="60"/>
              <w:left w:type="dxa" w:w="80"/>
              <w:bottom w:type="dxa" w:w="60"/>
              <w:right w:type="dxa" w:w="80"/>
            </w:tcMar>
          </w:tcPr>
          <w:p>
            <w:r>
              <w:rPr>
                <w:b/>
                <w:bCs/>
                <w:color w:val="FFFFFF"/>
              </w:rPr>
              <w:t xml:space="preserve">Mesures conservatoires</w:t>
            </w:r>
          </w:p>
        </w:tc>
        <w:tc>
          <w:tcPr>
            <w:tcW w:type="pct" w:w="650"/>
            <w:shd w:fill="1F4E79" w:color="auto" w:val="clear"/>
            <w:tcMar>
              <w:top w:type="dxa" w:w="60"/>
              <w:left w:type="dxa" w:w="80"/>
              <w:bottom w:type="dxa" w:w="60"/>
              <w:right w:type="dxa" w:w="80"/>
            </w:tcMar>
          </w:tcPr>
          <w:p>
            <w:r>
              <w:rPr>
                <w:b/>
                <w:bCs/>
                <w:color w:val="FFFFFF"/>
              </w:rPr>
              <w:t xml:space="preserve">Décision et date</w:t>
            </w:r>
          </w:p>
        </w:tc>
        <w:tc>
          <w:tcPr>
            <w:tcW w:type="pct" w:w="600"/>
            <w:shd w:fill="1F4E79" w:color="auto" w:val="clear"/>
            <w:tcMar>
              <w:top w:type="dxa" w:w="60"/>
              <w:left w:type="dxa" w:w="80"/>
              <w:bottom w:type="dxa" w:w="60"/>
              <w:right w:type="dxa" w:w="80"/>
            </w:tcMar>
          </w:tcPr>
          <w:p>
            <w:r>
              <w:rPr>
                <w:b/>
                <w:bCs/>
                <w:color w:val="FFFFFF"/>
              </w:rPr>
              <w:t xml:space="preserve">Suivi à 1 mois</w:t>
            </w:r>
          </w:p>
        </w:tc>
        <w:tc>
          <w:tcPr>
            <w:tcW w:type="pct" w:w="500"/>
            <w:shd w:fill="1F4E79" w:color="auto" w:val="clear"/>
            <w:tcMar>
              <w:top w:type="dxa" w:w="60"/>
              <w:left w:type="dxa" w:w="80"/>
              <w:bottom w:type="dxa" w:w="60"/>
              <w:right w:type="dxa" w:w="80"/>
            </w:tcMar>
          </w:tcPr>
          <w:p>
            <w:r>
              <w:rPr>
                <w:b/>
                <w:bCs/>
                <w:color w:val="FFFFFF"/>
              </w:rPr>
              <w:t xml:space="preserve">Clôture</w:t>
            </w:r>
          </w:p>
        </w:tc>
      </w:tr>
      <w:tr>
        <w:tc>
          <w:tcPr>
            <w:tcW w:type="pct" w:w="400"/>
            <w:tcMar>
              <w:top w:type="dxa" w:w="60"/>
              <w:left w:type="dxa" w:w="80"/>
              <w:bottom w:type="dxa" w:w="60"/>
              <w:right w:type="dxa" w:w="80"/>
            </w:tcMar>
          </w:tcPr>
          <w:p/>
        </w:tc>
        <w:tc>
          <w:tcPr>
            <w:tcW w:type="pct" w:w="650"/>
            <w:tcMar>
              <w:top w:type="dxa" w:w="60"/>
              <w:left w:type="dxa" w:w="80"/>
              <w:bottom w:type="dxa" w:w="60"/>
              <w:right w:type="dxa" w:w="80"/>
            </w:tcMar>
          </w:tcPr>
          <w:p/>
        </w:tc>
        <w:tc>
          <w:tcPr>
            <w:tcW w:type="pct" w:w="450"/>
            <w:tcMar>
              <w:top w:type="dxa" w:w="60"/>
              <w:left w:type="dxa" w:w="80"/>
              <w:bottom w:type="dxa" w:w="60"/>
              <w:right w:type="dxa" w:w="80"/>
            </w:tcMar>
          </w:tcPr>
          <w:p/>
        </w:tc>
        <w:tc>
          <w:tcPr>
            <w:tcW w:type="pct" w:w="1050"/>
            <w:tcMar>
              <w:top w:type="dxa" w:w="60"/>
              <w:left w:type="dxa" w:w="80"/>
              <w:bottom w:type="dxa" w:w="60"/>
              <w:right w:type="dxa" w:w="80"/>
            </w:tcMar>
          </w:tcPr>
          <w:p/>
        </w:tc>
        <w:tc>
          <w:tcPr>
            <w:tcW w:type="pct" w:w="700"/>
            <w:tcMar>
              <w:top w:type="dxa" w:w="60"/>
              <w:left w:type="dxa" w:w="80"/>
              <w:bottom w:type="dxa" w:w="60"/>
              <w:right w:type="dxa" w:w="80"/>
            </w:tcMar>
          </w:tcPr>
          <w:p/>
        </w:tc>
        <w:tc>
          <w:tcPr>
            <w:tcW w:type="pct" w:w="650"/>
            <w:tcMar>
              <w:top w:type="dxa" w:w="60"/>
              <w:left w:type="dxa" w:w="80"/>
              <w:bottom w:type="dxa" w:w="60"/>
              <w:right w:type="dxa" w:w="80"/>
            </w:tcMar>
          </w:tcPr>
          <w:p/>
        </w:tc>
        <w:tc>
          <w:tcPr>
            <w:tcW w:type="pct" w:w="600"/>
            <w:tcMar>
              <w:top w:type="dxa" w:w="60"/>
              <w:left w:type="dxa" w:w="80"/>
              <w:bottom w:type="dxa" w:w="60"/>
              <w:right w:type="dxa" w:w="80"/>
            </w:tcMar>
          </w:tcPr>
          <w:p/>
        </w:tc>
        <w:tc>
          <w:tcPr>
            <w:tcW w:type="pct" w:w="500"/>
            <w:tcMar>
              <w:top w:type="dxa" w:w="60"/>
              <w:left w:type="dxa" w:w="80"/>
              <w:bottom w:type="dxa" w:w="60"/>
              <w:right w:type="dxa" w:w="80"/>
            </w:tcMar>
          </w:tcPr>
          <w:p/>
        </w:tc>
      </w:tr>
    </w:tbl>
    <w:p>
      <w:pPr>
        <w:spacing w:after="60"/>
      </w:pPr>
    </w:p>
    <w:p>
      <w:pPr>
        <w:pBdr>
          <w:left w:val="single" w:color="1F4E79" w:sz="18" w:space="8"/>
        </w:pBdr>
        <w:shd w:fill="EAF1F8" w:color="auto" w:val="clear"/>
        <w:spacing w:after="120"/>
        <w:ind w:left="200" w:right="200"/>
      </w:pPr>
      <w:r>
        <w:rPr>
          <w:color w:val="1F3A5F"/>
        </w:rPr>
        <w:t xml:space="preserve">Un registre vide n'est pas une non-conformité si vous pouvez montrer que le canal existe et a été communiqué. Notez la date de chaque revue du registre.</w:t>
      </w:r>
    </w:p>
    <w:p>
      <w:pPr>
        <w:pStyle w:val="Heading2"/>
        <w:spacing w:after="120" w:before="240"/>
      </w:pPr>
      <w:r>
        <w:t xml:space="preserve">9. Revue de la procédure</w:t>
      </w:r>
    </w:p>
    <w:p>
      <w:pPr>
        <w:spacing w:after="120"/>
      </w:pPr>
      <w:r>
        <w:t xml:space="preserve">Revue au moins annuelle, et après chaque signalement traité. Dernière revue : </w:t>
      </w:r>
      <w:r>
        <w:rPr>
          <w:highlight w:val="yellow"/>
        </w:rPr>
        <w:t xml:space="preserve">[JJ/MM/AAAA]</w:t>
      </w:r>
      <w:r>
        <w:t xml:space="preserve"> par </w:t>
      </w:r>
      <w:r>
        <w:rPr>
          <w:highlight w:val="yellow"/>
        </w:rPr>
        <w:t xml:space="preserve">[nom]</w:t>
      </w:r>
      <w:r>
        <w:t xml:space="preserve">.</w:t>
      </w:r>
    </w:p>
    <w:p>
      <w:pPr>
        <w:pBdr>
          <w:bottom w:val="single" w:color="BFBFBF" w:sz="6" w:space="1"/>
        </w:pBdr>
      </w:pPr>
    </w:p>
    <w:p>
      <w:pPr>
        <w:pStyle w:val="Heading2"/>
        <w:spacing w:after="120" w:before="240"/>
      </w:pPr>
      <w:r>
        <w:t xml:space="preserve">Avertissement</w:t>
      </w:r>
    </w:p>
    <w:p>
      <w:pPr>
        <w:pStyle w:val="ListParagraph"/>
        <w:numPr>
          <w:ilvl w:val="0"/>
          <w:numId w:val="1"/>
        </w:numPr>
        <w:spacing w:after="60"/>
      </w:pPr>
      <w:r>
        <w:t xml:space="preserve">Ce kit est un outil d'organisation et d'information. Il ne constitue ni un conseil juridique, ni une prestation d'accompagnement, ni un audit.</w:t>
      </w:r>
    </w:p>
    <w:p>
      <w:pPr>
        <w:pStyle w:val="ListParagraph"/>
        <w:numPr>
          <w:ilvl w:val="0"/>
          <w:numId w:val="1"/>
        </w:numPr>
        <w:spacing w:after="60"/>
      </w:pPr>
      <w:r>
        <w:t xml:space="preserve">Son utilisation ne garantit pas l'obtention, le maintien ou le renouvellement de la certification : seul un organisme certificateur accrédité ou autorisé décide, après audit, sur la base du référentiel en vigueur et de son guide de lecture.</w:t>
      </w:r>
    </w:p>
    <w:p>
      <w:pPr>
        <w:pStyle w:val="ListParagraph"/>
        <w:numPr>
          <w:ilvl w:val="0"/>
          <w:numId w:val="1"/>
        </w:numPr>
        <w:spacing w:after="60"/>
      </w:pPr>
      <w:r>
        <w:t xml:space="preserve">Les modèles sont à adapter à votre organisme : un document recopié sans être appliqué n'est pas une preuve. L'auditeur vérifie la mise en œuvre réelle.</w:t>
      </w:r>
    </w:p>
    <w:p>
      <w:pPr>
        <w:pStyle w:val="ListParagraph"/>
        <w:numPr>
          <w:ilvl w:val="0"/>
          <w:numId w:val="1"/>
        </w:numPr>
        <w:spacing w:after="60"/>
      </w:pPr>
      <w:r>
        <w:t xml:space="preserve">Qualiopi est une marque de l'État (ministère chargé de la formation professionnelle). Ce kit est un produit indépendant : il n'est ni édité, ni validé, ni approuvé par l'État, France compétences, le COFRAC ou un organisme certificateur. Il ne contient pas et ne vous autorise pas à utiliser le logo Qualiopi, dont l'usage est régi par sa charte.</w:t>
      </w:r>
    </w:p>
    <w:p>
      <w:pPr>
        <w:pStyle w:val="ListParagraph"/>
        <w:numPr>
          <w:ilvl w:val="0"/>
          <w:numId w:val="1"/>
        </w:numPr>
        <w:spacing w:after="60"/>
      </w:pPr>
      <w:r>
        <w:t xml:space="preserve">Le texte de référence fait foi : en cas de doute, reportez-vous au décret n° 2026-728 et à l'annexe du code du travail sur Légifrance, puis au guide de lecture officiel dès sa publication.</w:t>
      </w:r>
    </w:p>
    <w:sectPr>
      <w:headerReference w:type="default" r:id="rId6"/>
      <w:footerReference w:type="default" r:id="rId7"/>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6"/>
        <w:szCs w:val="16"/>
      </w:rPr>
      <w:t xml:space="preserve">Kit Qualiopi V10 v1.1.0 — © READ FRANCE SAS — information, pas un conseil juridique — page </w:t>
    </w:r>
    <w:r>
      <w:rPr>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F7F7F"/>
        <w:sz w:val="16"/>
        <w:szCs w:val="16"/>
      </w:rPr>
      <w:t xml:space="preserve">Procédure de prévention des ruptures et des violences, harcèlement et discriminations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260"/>
      </w:pPr>
    </w:lvl>
    <w:lvl w:ilvl="1" w:tentative="1">
      <w:start w:val="1"/>
      <w:numFmt w:val="decimal"/>
      <w:lvlText w:val="%2."/>
      <w:lvlJc w:val="left"/>
      <w:pPr>
        <w:ind w:left="720" w:hanging="260"/>
      </w:pPr>
    </w:lvl>
    <w:lvl w:ilvl="2" w:tentative="1">
      <w:start w:val="1"/>
      <w:numFmt w:val="decimal"/>
      <w:lvlText w:val="%3."/>
      <w:lvlJc w:val="left"/>
      <w:pPr>
        <w:ind w:left="1080" w:hanging="260"/>
      </w:pPr>
    </w:lvl>
    <w:lvl w:ilvl="3" w: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1F4E79"/>
      <w:sz w:val="34"/>
      <w:szCs w:val="34"/>
    </w:rPr>
  </w:style>
  <w:style w:type="paragraph" w:styleId="Heading2">
    <w:name w:val="Heading 2"/>
    <w:basedOn w:val="Normal"/>
    <w:next w:val="Normal"/>
    <w:qFormat/>
    <w:rPr>
      <w:b/>
      <w:bCs/>
      <w:color w:val="1F4E79"/>
      <w:sz w:val="27"/>
      <w:szCs w:val="27"/>
    </w:rPr>
  </w:style>
  <w:style w:type="paragraph" w:styleId="Heading3">
    <w:name w:val="Heading 3"/>
    <w:basedOn w:val="Normal"/>
    <w:next w:val="Normal"/>
    <w:qFormat/>
    <w:rPr>
      <w:b/>
      <w:bCs/>
      <w:color w:val="2E2E2E"/>
      <w:sz w:val="23"/>
      <w:szCs w:val="23"/>
    </w:rPr>
  </w:style>
  <w:style w:type="paragraph" w:styleId="Heading4">
    <w:name w:val="Heading 4"/>
    <w:basedOn w:val="Normal"/>
    <w:next w:val="Normal"/>
    <w:qFormat/>
    <w:rPr>
      <w:b/>
      <w:bCs/>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de prévention des ruptures et des violences, harcèlement et discriminations</dc:title>
  <dc:creator>READ FRANCE SAS</dc:creator>
  <dc:description>Kit Qualiopi V10 — READ FRANCE SAS</dc:description>
  <cp:lastModifiedBy>Un-named</cp:lastModifiedBy>
  <cp:revision>1</cp:revision>
  <dcterms:created xsi:type="dcterms:W3CDTF">2026-10-12T23:21:00.040Z</dcterms:created>
  <dcterms:modified xsi:type="dcterms:W3CDTF">2026-10-12T23:21:00.040Z</dcterms:modified>
</cp:coreProperties>
</file>

<file path=docProps/custom.xml><?xml version="1.0" encoding="utf-8"?>
<Properties xmlns="http://schemas.openxmlformats.org/officeDocument/2006/custom-properties" xmlns:vt="http://schemas.openxmlformats.org/officeDocument/2006/docPropsVTypes"/>
</file>